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trong nước – Thu tiền mặt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hoạt động khác của NHPT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Khách hàng đề nghị Phòng TCKT Sở Giao dịch hoặc Chi nhánh hoặc Phòng Tài vụ Văn phòng NHPT hoặc Bộ phận kế toán các đơn vị thuộc và trực thuộc NHPT cung cấp giấy nộp tiền mặt, bảng kê các loại tiền nộp… theo mẫu của NHPT	</w:t>
      </w:r>
    </w:p>
    <w:p>
      <w:pPr>
        <w:spacing w:after="0" w:before="0" w:lineRule="auto" w:line="276"/>
        <w:jc w:val="both"/>
      </w:pPr>
      <w:r>
        <w:rPr>
          <w:rFonts w:ascii="Times New Roman" w:hAnsi="Times New Roman" w:cs="Times New Roman" w:eastAsia="Times New Roman"/>
          <w:b w:val="false"/>
          <w:sz w:val="26"/>
        </w:rPr>
        <w:t>2. Khách hàng tiến hành kê khai các thông tin trên hồ sơ nộp tiền mặt.	</w:t>
      </w:r>
    </w:p>
    <w:p>
      <w:pPr>
        <w:spacing w:after="0" w:before="0" w:lineRule="auto" w:line="276"/>
        <w:jc w:val="both"/>
      </w:pPr>
      <w:r>
        <w:rPr>
          <w:rFonts w:ascii="Times New Roman" w:hAnsi="Times New Roman" w:cs="Times New Roman" w:eastAsia="Times New Roman"/>
          <w:b w:val="false"/>
          <w:sz w:val="26"/>
        </w:rPr>
        <w:t>3. Phòng TCKT hoặc Phòng Tài vụ hoặc Bộ phận kế toán tiếp nhận, kiểm tra các thông tin có liên quan đến quá trình nộp tiền. Nếu đầy đủ, chính xác đơn vị NHPT tiến hành thu tiền và viết Phiếu thu trả cho khách hàng. Nếu nội dung nộp tiền không đầy đủ, rõ ràng thì Phòng TCKT hoặc Phòng Tài vụ hoặc Bộ phận kế toán của đơn vị NHPT từ chối thu tiền.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nộp tiền mặt</w:t>
            </w:r>
          </w:p>
        </w:tc>
        <w:tc>
          <w:p/>
          <w:p>
            <w:pPr>
              <w:spacing w:after="0" w:before="0" w:lineRule="auto" w:line="276"/>
              <w:jc w:val="left"/>
            </w:pPr>
            <w:r>
              <w:rPr>
                <w:rFonts w:ascii="Times New Roman" w:hAnsi="Times New Roman" w:cs="Times New Roman" w:eastAsia="Times New Roman"/>
                <w:b w:val="false"/>
                <w:sz w:val="26"/>
              </w:rPr>
              <w:t>Mẫu số C46-NHPT.docx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Bảng kê các loại tiền nộp</w:t>
            </w:r>
          </w:p>
        </w:tc>
        <w:tc>
          <w:p/>
          <w:p>
            <w:pPr>
              <w:spacing w:after="0" w:before="0" w:lineRule="auto" w:line="276"/>
              <w:jc w:val="left"/>
            </w:pPr>
            <w:r>
              <w:rPr>
                <w:rFonts w:ascii="Times New Roman" w:hAnsi="Times New Roman" w:cs="Times New Roman" w:eastAsia="Times New Roman"/>
                <w:b w:val="false"/>
                <w:sz w:val="26"/>
              </w:rPr>
              <w:t>Mẫu số C17a_C17b-NHPT.docx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Ngoài các giấy tờ chính quy định trên đây, đối với các đối tượng khách hàng có nội dung nộp tiền mặt đặc thù, Phòng TCKT hoặc Phòng Tài vụ hoặc Bộ phận kế toán có quyền yêu cầu khách hàng cung cấp thêm các giấy tờ cần thiết khác để bổ sung cho việc nộp tiền mặt. Các giấy tờ bổ sung trong bộ hồ sơ nộp tiền mặt có thể là bản gốc, bản sao có xác nhận của cơ quan cấp bản chính hoặc có công chứng, chứng thực của cơ quan có thẩm quyền. Các yêu cầu này được thông báo công khai và có hướng dẫn cụ thể đối với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tài chính kế toán, Bộ phận kế toán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Tổng Giám đốc NHPT</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Thủ trưởng các đơn vị thuộc và trực thuộc NHPT</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Phiếu thu, Trường hợp gửi tiền: Phiếu thu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Nghị định 101/2012/NĐ-CP</w:t>
            </w:r>
          </w:p>
        </w:tc>
        <w:tc>
          <w:p/>
          <w:p>
            <w:pPr>
              <w:spacing w:after="0" w:before="0" w:lineRule="auto" w:line="276"/>
              <w:jc w:val="left"/>
            </w:pPr>
            <w:r>
              <w:rPr>
                <w:rFonts w:ascii="Times New Roman" w:hAnsi="Times New Roman" w:cs="Times New Roman" w:eastAsia="Times New Roman"/>
                <w:b w:val="false"/>
                <w:sz w:val="26"/>
              </w:rPr>
              <w:t>23-11-2012</w:t>
            </w:r>
          </w:p>
        </w:tc>
        <w:tc>
          <w:p/>
        </w:tc>
      </w:tr>
      <w:tr>
        <w:tc>
          <w:p/>
          <w:p>
            <w:pPr>
              <w:spacing w:after="0" w:before="0" w:lineRule="auto" w:line="276"/>
              <w:jc w:val="left"/>
            </w:pPr>
            <w:r>
              <w:rPr>
                <w:rFonts w:ascii="Times New Roman" w:hAnsi="Times New Roman" w:cs="Times New Roman" w:eastAsia="Times New Roman"/>
                <w:b w:val="false"/>
                <w:sz w:val="26"/>
              </w:rPr>
              <w:t>46/2014/TT-NHNN</w:t>
            </w:r>
          </w:p>
        </w:tc>
        <w:tc>
          <w:p/>
          <w:p>
            <w:pPr>
              <w:spacing w:after="0" w:before="0" w:lineRule="auto" w:line="276"/>
              <w:jc w:val="left"/>
            </w:pPr>
            <w:r>
              <w:rPr>
                <w:rFonts w:ascii="Times New Roman" w:hAnsi="Times New Roman" w:cs="Times New Roman" w:eastAsia="Times New Roman"/>
                <w:b w:val="false"/>
                <w:sz w:val="26"/>
              </w:rPr>
              <w:t>Thông tư 46/2014/TT-NHNN</w:t>
            </w:r>
          </w:p>
        </w:tc>
        <w:tc>
          <w:p/>
          <w:p>
            <w:pPr>
              <w:spacing w:after="0" w:before="0" w:lineRule="auto" w:line="276"/>
              <w:jc w:val="left"/>
            </w:pPr>
            <w:r>
              <w:rPr>
                <w:rFonts w:ascii="Times New Roman" w:hAnsi="Times New Roman" w:cs="Times New Roman" w:eastAsia="Times New Roman"/>
                <w:b w:val="false"/>
                <w:sz w:val="26"/>
              </w:rPr>
              <w:t>01-01-2015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2025-11-27T16:19:18Z</dcterms:created>
  <dc:creator>Apache POI</dc:creator>
</cp:coreProperties>
</file>