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2.000167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688A/QĐ-BCT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bán buôn sản phẩm thuốc lá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Trường hợp Giấy phép bán buôn sản phẩm thuốc lá đã được cấp hết thời hạn hiệu lực.</w:t>
      </w:r>
    </w:p>
    <w:p>
      <w:pPr>
        <w:spacing w:after="0" w:before="0" w:lineRule="auto" w:line="276"/>
        <w:jc w:val="both"/>
      </w:pPr>
      <w:r>
        <w:rPr>
          <w:rFonts w:ascii="Times New Roman" w:hAnsi="Times New Roman" w:cs="Times New Roman" w:eastAsia="Times New Roman"/>
          <w:b w:val="false"/>
          <w:sz w:val="26"/>
        </w:rPr>
        <w:t>Trước thời hạn hết hiệu lực của giấy phép 30 ngày, tổ chức, cá nhân phải nộp hồ sơ đề nghị cấp lại giấy phép trong trường hợp tiếp tục kinh doanh.</w:t>
      </w:r>
    </w:p>
    <w:p>
      <w:pPr>
        <w:spacing w:after="0" w:before="0" w:lineRule="auto" w:line="276"/>
        <w:jc w:val="both"/>
      </w:pPr>
      <w:r>
        <w:rPr>
          <w:rFonts w:ascii="Times New Roman" w:hAnsi="Times New Roman" w:cs="Times New Roman" w:eastAsia="Times New Roman"/>
          <w:b w:val="false"/>
          <w:sz w:val="26"/>
        </w:rPr>
        <w:t>Trình tự thực hiện: 
+ Thương nhân bán buôn sản phẩm thuốc lá gửi 01 bộ hồ sơ về Sở Công Thương.
+ Sở Công Thương kiểm tra và tiếp nhận hồ sơ của thương nhân
+ Sở Công Thương tiến hành thẩm định hồ sơ và các điều kiện cần thiết để cấp phép hoặc từ chối cấp phép.</w:t>
      </w:r>
    </w:p>
    <w:p>
      <w:pPr>
        <w:shd w:val="clear" w:color="auto" w:fill="F2F6F9"/>
        <w:spacing w:after="0" w:before="120" w:lineRule="auto" w:line="276"/>
        <w:jc w:val="both"/>
      </w:pPr>
      <w:r>
        <w:rPr>
          <w:rFonts w:ascii="Times New Roman" w:hAnsi="Times New Roman" w:cs="Times New Roman" w:eastAsia="Times New Roman"/>
          <w:b w:val="true"/>
          <w:sz w:val="26"/>
        </w:rPr>
        <w:t>Trường hợp Giấy phép bán buôn sản phẩm thuốc lá bị mất, bị tiêu hủy toàn bộ hoặc một phần, bị rách, nát hoặc bị cháy:</w:t>
      </w:r>
    </w:p>
    <w:p>
      <w:pPr>
        <w:spacing w:after="0" w:before="0" w:lineRule="auto" w:line="276"/>
        <w:jc w:val="both"/>
      </w:pPr>
      <w:r>
        <w:rPr>
          <w:rFonts w:ascii="Times New Roman" w:hAnsi="Times New Roman" w:cs="Times New Roman" w:eastAsia="Times New Roman"/>
          <w:b w:val="false"/>
          <w:sz w:val="26"/>
        </w:rPr>
        <w:t>- Tổ chức, cá nhân kinh doanh nộp 01 bộ hồ sơ đề nghị cấp lại đến Sở Công Thương. Sở Công Thương kiểm tra và tiếp nhận hồ sơ của thương nhân, trong thời hạn 15 ngày làm việc kể từ ngày nhận đủ hồ sơ, Sở Công Thương xem xét cấp laij Giấy phép. Trường hợp tổ chức, cá nhân không đáp ứng đủ điều kiện theo quy định Sở Công Thương có văn bản trả lời từ chối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Phí thẩm định (nếu có): Tại các huyện: 600.000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p>
            <w:pPr>
              <w:spacing w:after="0" w:before="0" w:lineRule="auto" w:line="276"/>
              <w:jc w:val="left"/>
            </w:pPr>
            <w:r>
              <w:rPr>
                <w:rFonts w:ascii="Times New Roman" w:hAnsi="Times New Roman" w:cs="Times New Roman" w:eastAsia="Times New Roman"/>
                <w:b w:val="false"/>
                <w:sz w:val="26"/>
              </w:rPr>
              <w:t xml:space="preserve">Phí : Phí thẩm định (nếu có): Tại thành phố và các thị xã: 1.200.000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tc>
        <w:tc>
          <w:p/>
          <w:p>
            <w:pPr>
              <w:spacing w:after="0" w:before="0" w:lineRule="auto" w:line="276"/>
              <w:jc w:val="left"/>
            </w:pPr>
            <w:r>
              <w:rPr>
                <w:rFonts w:ascii="Times New Roman" w:hAnsi="Times New Roman" w:cs="Times New Roman" w:eastAsia="Times New Roman"/>
                <w:b w:val="false"/>
                <w:sz w:val="26"/>
              </w:rPr>
              <w:t>+ Trong thời hạn 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Phí thẩm định (nếu có): Tại các huyện: 600.000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p>
            <w:pPr>
              <w:spacing w:after="0" w:before="0" w:lineRule="auto" w:line="276"/>
              <w:jc w:val="left"/>
            </w:pPr>
            <w:r>
              <w:rPr>
                <w:rFonts w:ascii="Times New Roman" w:hAnsi="Times New Roman" w:cs="Times New Roman" w:eastAsia="Times New Roman"/>
                <w:b w:val="false"/>
                <w:sz w:val="26"/>
              </w:rPr>
              <w:t xml:space="preserve">Phí : Phí thẩm định (nếu có): Tại thành phố và các thị xã: 1.200.000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tc>
        <w:tc>
          <w:p/>
          <w:p>
            <w:pPr>
              <w:spacing w:after="0" w:before="0" w:lineRule="auto" w:line="276"/>
              <w:jc w:val="left"/>
            </w:pPr>
            <w:r>
              <w:rPr>
                <w:rFonts w:ascii="Times New Roman" w:hAnsi="Times New Roman" w:cs="Times New Roman" w:eastAsia="Times New Roman"/>
                <w:b w:val="false"/>
                <w:sz w:val="26"/>
              </w:rPr>
              <w:t>+ Trong thời hạn 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Phí thẩm định (nếu có): Tại các huyện: 600.000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p>
            <w:pPr>
              <w:spacing w:after="0" w:before="0" w:lineRule="auto" w:line="276"/>
              <w:jc w:val="left"/>
            </w:pPr>
            <w:r>
              <w:rPr>
                <w:rFonts w:ascii="Times New Roman" w:hAnsi="Times New Roman" w:cs="Times New Roman" w:eastAsia="Times New Roman"/>
                <w:b w:val="false"/>
                <w:sz w:val="26"/>
              </w:rPr>
              <w:t xml:space="preserve">Phí : Phí thẩm định (nếu có): Tại thành phố và các thị xã: 1.200.000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tc>
        <w:tc>
          <w:p/>
          <w:p>
            <w:pPr>
              <w:spacing w:after="0" w:before="0" w:lineRule="auto" w:line="276"/>
              <w:jc w:val="left"/>
            </w:pPr>
            <w:r>
              <w:rPr>
                <w:rFonts w:ascii="Times New Roman" w:hAnsi="Times New Roman" w:cs="Times New Roman" w:eastAsia="Times New Roman"/>
                <w:b w:val="false"/>
                <w:sz w:val="26"/>
              </w:rPr>
              <w:t>+ Trong thời hạn 15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Giấy phép bán buôn sản phẩm thuốc lá bị tiêu hủy toàn bộ hoặc một phần, bị rách, nát hoặc bị cháy.</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Thành phần hồ sơ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cấp lại Giấy phép bán buôn sản phẩm thuốc lá (Bản chính theo mẫu Phụ lục 50 Thông tư số 57/2018/TT-BCT);</w:t>
            </w:r>
          </w:p>
        </w:tc>
        <w:tc>
          <w:p/>
          <w:p>
            <w:pPr>
              <w:spacing w:after="0" w:before="0" w:lineRule="auto" w:line="276"/>
              <w:jc w:val="left"/>
            </w:pPr>
            <w:r>
              <w:rPr>
                <w:rFonts w:ascii="Times New Roman" w:hAnsi="Times New Roman" w:cs="Times New Roman" w:eastAsia="Times New Roman"/>
                <w:b w:val="false"/>
                <w:sz w:val="26"/>
              </w:rPr>
              <w:t>Phụ lục 50.docx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Giấy phép bán buôn sản phẩm thuốc lá đã được cấp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kết quả kinh doanh của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Trường hợp cấp lại do Giấy phép hết thời hạn hiệu lực</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Đơn đề nghị cấp Giấy phép bán buôn sản phẩm thuốc lá; Phụ Lục 21 theo mẫu (Kèm theo Thông tư số 57/2018/TT-BCT ngày 26 tháng 12 năm 2018 của Bộ Công Thương)</w:t>
            </w:r>
          </w:p>
        </w:tc>
        <w:tc>
          <w:p/>
          <w:p>
            <w:pPr>
              <w:spacing w:after="0" w:before="0" w:lineRule="auto" w:line="276"/>
              <w:jc w:val="left"/>
            </w:pPr>
            <w:r>
              <w:rPr>
                <w:rFonts w:ascii="Times New Roman" w:hAnsi="Times New Roman" w:cs="Times New Roman" w:eastAsia="Times New Roman"/>
                <w:b w:val="false"/>
                <w:sz w:val="26"/>
              </w:rPr>
              <w:t>PHỤ LỤC 21.docx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Bản sao Giấy chứng nhận đăng ký doanh nghiệp hoặc Giấy chứng nhận đăng ký kinh doanh và Giấy chứng nhận mã số thuế;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Bản sao các văn bản giới thiệu của Nhà cung cấp sản phẩm thuốc lá hoặc các thương nhân phân phối sản phẩm thuốc lá ghi rõ địa bàn dự kiến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Bảng kê danh sách thương nhân, bản sao Giấy chứng nhận đăng ký doanh nghiệp hoặc Giấy chứng nhận đăng ký kinh doanh và Giấy chứng nhận mã số thuế, Giấy phép kinh doanh sản phẩm thuốc lá (nếu đã kinh doanh) của các thương nhân đã hoặc sẽ thuộc hệ thống phân phối sản phẩm thuốc lá trên địa bàn;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Báo cáo kết quả kinh doanh của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bán buôn sản phẩm thuốc lá (cấp lại)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09/2012/QH13</w:t>
            </w:r>
          </w:p>
        </w:tc>
        <w:tc>
          <w:p/>
          <w:p>
            <w:pPr>
              <w:spacing w:after="0" w:before="0" w:lineRule="auto" w:line="276"/>
              <w:jc w:val="left"/>
            </w:pPr>
            <w:r>
              <w:rPr>
                <w:rFonts w:ascii="Times New Roman" w:hAnsi="Times New Roman" w:cs="Times New Roman" w:eastAsia="Times New Roman"/>
                <w:b w:val="false"/>
                <w:sz w:val="26"/>
              </w:rPr>
              <w:t>Luật 09/2012/QH13</w:t>
            </w:r>
          </w:p>
        </w:tc>
        <w:tc>
          <w:p/>
          <w:p>
            <w:pPr>
              <w:spacing w:after="0" w:before="0" w:lineRule="auto" w:line="276"/>
              <w:jc w:val="left"/>
            </w:pPr>
            <w:r>
              <w:rPr>
                <w:rFonts w:ascii="Times New Roman" w:hAnsi="Times New Roman" w:cs="Times New Roman" w:eastAsia="Times New Roman"/>
                <w:b w:val="false"/>
                <w:sz w:val="26"/>
              </w:rPr>
              <w:t>18-06-2012</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Phòng, chống tác hại của thuốc lá về kinh doanh thuốc lá</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Sửa đổi một số Nghị định liên quan đến điều kiện đầu tư kinh doanh thuộc phạm vi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106/2017/NĐ-CP</w:t>
            </w:r>
          </w:p>
        </w:tc>
        <w:tc>
          <w:p/>
          <w:p>
            <w:pPr>
              <w:spacing w:after="0" w:before="0" w:lineRule="auto" w:line="276"/>
              <w:jc w:val="left"/>
            </w:pPr>
            <w:r>
              <w:rPr>
                <w:rFonts w:ascii="Times New Roman" w:hAnsi="Times New Roman" w:cs="Times New Roman" w:eastAsia="Times New Roman"/>
                <w:b w:val="false"/>
                <w:sz w:val="26"/>
              </w:rPr>
              <w:t>Nghị định 106/2017/NĐ-CP</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57/2018/TT-BCT</w:t>
            </w:r>
          </w:p>
        </w:tc>
        <w:tc>
          <w:p/>
          <w:p>
            <w:pPr>
              <w:spacing w:after="0" w:before="0" w:lineRule="auto" w:line="276"/>
              <w:jc w:val="left"/>
            </w:pPr>
            <w:r>
              <w:rPr>
                <w:rFonts w:ascii="Times New Roman" w:hAnsi="Times New Roman" w:cs="Times New Roman" w:eastAsia="Times New Roman"/>
                <w:b w:val="false"/>
                <w:sz w:val="26"/>
              </w:rPr>
              <w:t>Thông tư 57/2018/TT-BCT</w:t>
            </w:r>
          </w:p>
        </w:tc>
        <w:tc>
          <w:p/>
          <w:p>
            <w:pPr>
              <w:spacing w:after="0" w:before="0" w:lineRule="auto" w:line="276"/>
              <w:jc w:val="left"/>
            </w:pPr>
            <w:r>
              <w:rPr>
                <w:rFonts w:ascii="Times New Roman" w:hAnsi="Times New Roman" w:cs="Times New Roman" w:eastAsia="Times New Roman"/>
                <w:b w:val="false"/>
                <w:sz w:val="26"/>
              </w:rPr>
              <w:t>28-12-2018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28/2019/TT-BCT</w:t>
            </w:r>
          </w:p>
        </w:tc>
        <w:tc>
          <w:p/>
          <w:p>
            <w:pPr>
              <w:spacing w:after="0" w:before="0" w:lineRule="auto" w:line="276"/>
              <w:jc w:val="left"/>
            </w:pPr>
            <w:r>
              <w:rPr>
                <w:rFonts w:ascii="Times New Roman" w:hAnsi="Times New Roman" w:cs="Times New Roman" w:eastAsia="Times New Roman"/>
                <w:b w:val="false"/>
                <w:sz w:val="26"/>
              </w:rPr>
              <w:t>Thông tư 28/2019/TT-BCT</w:t>
            </w:r>
          </w:p>
        </w:tc>
        <w:tc>
          <w:p/>
          <w:p>
            <w:pPr>
              <w:spacing w:after="0" w:before="0" w:lineRule="auto" w:line="276"/>
              <w:jc w:val="left"/>
            </w:pPr>
            <w:r>
              <w:rPr>
                <w:rFonts w:ascii="Times New Roman" w:hAnsi="Times New Roman" w:cs="Times New Roman" w:eastAsia="Times New Roman"/>
                <w:b w:val="false"/>
                <w:sz w:val="26"/>
              </w:rPr>
              <w:t>15-11-2019</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Là doanh nghiệp được thành lập theo quy định của pháp luật ;
b) Địa điểm kinh doanh không vi phạm quy định về địa điểm không được bán thuốc lá theo quy định tại Khoản 2 Điều 25 (Bán thuốc lá) Luật Phòng, chống tác hại của thuốc lá năm 2012; 
c) Có hệ thống bán buôn sản phẩm thuốc lá trên địa bàn tỉnh nơi thương nhân đặt trụ sở chính (tối thiểu phải từ 02 thương nhân bán lẻ sản phẩm thuốc lá trở lên);
d) Có văn bản giới thiệu của Nhà cung cấp sản phẩm thuốc lá hoặc của các thương nhân phân phối sản phẩm thuốc lá ghi rõ địa bàn dự kiến kinh doanh;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https://thutuc.dichvucong.gov.vn/p/home/dvc-tthc-thu-tuc-hanh-chinh-chi-tiet.html?ma_thu_tuc=565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2025-11-27T16:19:41Z</dcterms:created>
  <dc:creator>Apache POI</dc:creator>
</cp:coreProperties>
</file>