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2.000191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hợp đồng theo mẫu, điều kiện giao dịch chung thuộc thẩm quyền của Sở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bảo vệ quyền lợi người tiêu dùng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Tổ chức, cá nhân đăng ký hợp đồng theo mẫu, điều kiện giao dịch chung lập 01 bộ hồ sơ quy định tại khoản 1 Điều 8 Nghị định số 55/2024/NĐ-CP ngày 16 tháng 5 năm 2024 gửi qua đường bưu điện hoặc gửi trực tiếp hoặc trực tuyến trên môi trường điện tử đến cơ quan quản lý nhà nước về bảo vệ quyền lợi người tiêu dùng thuộc Ủy ban nhân dân cấp tỉnh (cơ quan quản lý nhà nước về bảo vệ quyền lợi người tiêu dùng); 
	- Tổ chức, cá nhân kinh doanh nộp hồ sơ được nhận phiếu tiếp nhận hồ sơ, trong đó ghi rõ thời gian nhận và ngày trả kết quả. 
	- Trong thời hạn 05 ngày làm việc kể từ ngày tiếp nhận hồ sơ, Ủy ban nhân dân cấp tỉnh (cơ quan quản lý nhà nước về bảo vệ quyền lợi người tiêu dùng) có trách nhiệm kiểm tra tính đầy đủ, hợp lệ của hồ sơ. Trường hợp hồ sơ chưa đầy đủ, hợp lệ, Ủy ban nhân dân cấp tỉnh (cơ quan quản lý nhà nước về bảo vệ quyền lợi người tiêu dùng) thông báo bằng văn bản theo Mẫu số 03 tại Phụ lục ban hành kèm theo Nghị định số 55/2024/NĐ-CP ngày 16 tháng 5 năm 2024 để tổ chức, cá nhân kinh doanh sửa đổi, bổ sung hồ sơ. Trường hợp hồ sơ đầy đủ, hợp lệ, Ủy ban nhân dân cấp tỉnh (cơ quan quản lý nhà nước về bảo vệ quyền lợi người tiêu dùng) tiến hành thẩm định hồ sơ theo quy định. 
	- Cơ quan quản lý nhà nước về bảo vệ quyền lợi người tiêu dùng thuộc Ủy ban nhân dân cấp tỉnh có trách nhiệm thẩm định hồ sơ trong thời hạn 30 ngày, kể từ ngày nhận đủ hồ sơ hợp lệ quy định tại Điều 9 Nghị định số 55/2024/NĐ-CP ngày 16 tháng 5 năm 2024, và có thể được gia hạn thêm tối đa không quá 30 ngày trong trường hợp phức tạp. Trong trường hợp gia hạn, Ủy ban nhân dân cấp tỉnh (cơ quan quản lý nhà nước về bảo vệ quyền lợi người tiêu dùng) thông báo kịp thời cho tổ chức, cá nhân kinh doanh về thời gian và lý do gia hạn. 
	Trong quá trình thẩm định hồ sơ đăng ký, Ủy ban nhân dân cấp tỉnh (cơ quan quản lý nhà nước về bảo vệ quyền lợi người tiêu dùng) có quyền yêu cầu tổ chức, cá nhân kinh doanh giải trình về các vấn đề cần thiết liên quan đến nội dung đăng ký. 
	Trường hợp hồ sơ của tổ chức, cá nhân kinh doanh tuân thủ đầy đủ quy định tại Điều 11 của Nghị định số 55/2024/NĐ-CP ngày 16 tháng 5 năm 2024, cơ quan quản lý nhà nước về bảo vệ quyền lợi người tiêu dùng thuộc Ủy ban nhân dân cấp tỉnh ra thông báo về việc hoàn thành đăng ký hợp đồng theo mẫu, điều kiện giao dịch chung theo Mẫu số 04 tại Phụ lục ban hành kèm theo Nghị định số 55/2024/NĐ-CP ngày 16 tháng 5 năm 2024. Trường hợp hồ sơ của tổ chức, cá nhân kinh doanh không tuân thủ đầy đủ quy định tại Điều 11 của Nghị định số 55/2024/NĐ-CP ngày 16 tháng 5 năm 2024, cơ quan quản lý nhà nước về bảo vệ quyền lợi người tiêu dùng thuộc Ủy ban nhân dân cấp tỉnh   thông báo bằng văn bản kết quả thẩm định hồ sơ và nêu rõ lý do hồ sơ chưa hoàn thành đăng ký theo Mẫu số 05 tại Phụ lục ban hành kèm theo Nghị định số 55/2024/NĐ-CP ngày 16 tháng 5 năm 2024;
	Sau khi hoàn thành thủ tục đăng ký, thông tin về tổ chức, cá nhân kinh doanh và bản hợp đồng theo mẫu, điều kiện giao dịch chung đã hoàn thành đăng ký được công bố công khai và lưu trữ trên cổng thông tin điện tử của cơ quan quản lý nhà nước về bảo vệ quyền lợi người tiêu dùng thuộc Ủy ban nhân dân cấp tỉnh. Tổ chức, cá nhân kinh doanh có trách nhiệm công bố công khai thông báo hoàn thành đăng ký và bản hợp đồng theo mẫu, điều kiện giao dịch chung đã hoàn thành đăng ký theo hình thức niêm yết ở vị trí dễ nhìn thấy tại trụ sở, địa điểm kinh doanh và đăng tải trên cổng thông tin điện tử, phần mềm ứng dụng (nếu có) trong toàn bộ thời gian áp dụng bản hợp đồng theo mẫu, điều kiện giao dịch chung đó.</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(ba mươi) ngày kể từ ngày nhận đủ hồ sơ hợp lệ và có thể được gia hạn thêm tối đa không quá 30 ngày trong trường hợp phức tạp.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(ba mươi) ngày kể từ ngày nhận đủ hồ sơ hợp lệ và có thể được gia hạn thêm tối đa không quá 30 ngày trong trường hợp phức tạp.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(ba mươi) ngày kể từ ngày nhận đủ hồ sơ hợp lệ và có thể được gia hạn thêm tối đa không quá 30 ngày trong trường hợp phức tạp.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đăng ký hợp đồng theo mẫu, điều kiện giao dịch chung theo Mẫu số 02 tại Phụ lục ban hành kèm theo Nghị định số 55/2024/NĐ-CP ngày 16 tháng 5 năm 2024;</w:t>
            </w:r>
          </w:p>
        </w:tc>
        <w:tc>
          <w:p/>
          <w:p>
            <w:pPr>
              <w:spacing w:after="0" w:before="0" w:lineRule="auto" w:line="276"/>
              <w:jc w:val="left"/>
            </w:pPr>
            <w:r>
              <w:rPr>
                <w:rFonts w:ascii="Times New Roman" w:hAnsi="Times New Roman" w:cs="Times New Roman" w:eastAsia="Times New Roman"/>
                <w:b w:val="false"/>
                <w:sz w:val="26"/>
              </w:rPr>
              <w:t>Mẫu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Dự thảo hợp đồng theo mẫu, điều kiện giao dịch chung bằng tiếng Việt.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Thông báo hoàn thành đăng ký hợp đồng theo mẫu, điều kiện giao dịch chung.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59/2010/QH1</w:t>
            </w:r>
          </w:p>
        </w:tc>
        <w:tc>
          <w:p/>
          <w:p>
            <w:pPr>
              <w:spacing w:after="0" w:before="0" w:lineRule="auto" w:line="276"/>
              <w:jc w:val="left"/>
            </w:pPr>
            <w:r>
              <w:rPr>
                <w:rFonts w:ascii="Times New Roman" w:hAnsi="Times New Roman" w:cs="Times New Roman" w:eastAsia="Times New Roman"/>
                <w:b w:val="false"/>
                <w:sz w:val="26"/>
              </w:rPr>
              <w:t>Luật Bảo vệ quyền lợi người tiêu dùng</w:t>
            </w:r>
          </w:p>
        </w:tc>
        <w:tc>
          <w:p/>
          <w:p>
            <w:pPr>
              <w:spacing w:after="0" w:before="0" w:lineRule="auto" w:line="276"/>
              <w:jc w:val="left"/>
            </w:pPr>
            <w:r>
              <w:rPr>
                <w:rFonts w:ascii="Times New Roman" w:hAnsi="Times New Roman" w:cs="Times New Roman" w:eastAsia="Times New Roman"/>
                <w:b w:val="false"/>
                <w:sz w:val="26"/>
              </w:rPr>
              <w:t>17-11-2010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55/2024/NĐ-CP</w:t>
            </w:r>
          </w:p>
        </w:tc>
        <w:tc>
          <w:p/>
          <w:p>
            <w:pPr>
              <w:spacing w:after="0" w:before="0" w:lineRule="auto" w:line="276"/>
              <w:jc w:val="left"/>
            </w:pPr>
            <w:r>
              <w:rPr>
                <w:rFonts w:ascii="Times New Roman" w:hAnsi="Times New Roman" w:cs="Times New Roman" w:eastAsia="Times New Roman"/>
                <w:b w:val="false"/>
                <w:sz w:val="26"/>
              </w:rPr>
              <w:t>Quy định chi tiết một số điều của Luật Bảo vệ quyền lợi người tiêu dùng</w:t>
            </w:r>
          </w:p>
        </w:tc>
        <w:tc>
          <w:p/>
          <w:p>
            <w:pPr>
              <w:spacing w:after="0" w:before="0" w:lineRule="auto" w:line="276"/>
              <w:jc w:val="left"/>
            </w:pPr>
            <w:r>
              <w:rPr>
                <w:rFonts w:ascii="Times New Roman" w:hAnsi="Times New Roman" w:cs="Times New Roman" w:eastAsia="Times New Roman"/>
                <w:b w:val="false"/>
                <w:sz w:val="26"/>
              </w:rPr>
              <w:t>16-05-2024</w:t>
            </w:r>
          </w:p>
        </w:tc>
        <w:tc>
          <w:p/>
          <w:p>
            <w:pPr>
              <w:spacing w:after="0" w:before="0" w:lineRule="auto" w:line="276"/>
              <w:jc w:val="left"/>
            </w:pPr>
            <w:r>
              <w:rPr>
                <w:rFonts w:ascii="Times New Roman" w:hAnsi="Times New Roman" w:cs="Times New Roman" w:eastAsia="Times New Roman"/>
                <w:b w:val="false"/>
                <w:sz w:val="26"/>
              </w:rPr>
              <w:t>Bộ trưởng, Chủ nhiệm Văn phòng 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r>
        <w:tc>
          <w:p/>
          <w:p>
            <w:pPr>
              <w:spacing w:after="0" w:before="0" w:lineRule="auto" w:line="276"/>
              <w:jc w:val="left"/>
            </w:pPr>
            <w:r>
              <w:rPr>
                <w:rFonts w:ascii="Times New Roman" w:hAnsi="Times New Roman" w:cs="Times New Roman" w:eastAsia="Times New Roman"/>
                <w:b w:val="false"/>
                <w:sz w:val="26"/>
              </w:rPr>
              <w:t>Thông tư số 42/2025/TT-BCT</w:t>
            </w:r>
          </w:p>
        </w:tc>
        <w:tc>
          <w:p/>
          <w:p>
            <w:pPr>
              <w:spacing w:after="0" w:before="0" w:lineRule="auto" w:line="276"/>
              <w:jc w:val="left"/>
            </w:pPr>
            <w:r>
              <w:rPr>
                <w:rFonts w:ascii="Times New Roman" w:hAnsi="Times New Roman" w:cs="Times New Roman" w:eastAsia="Times New Roman"/>
                <w:b w:val="false"/>
                <w:sz w:val="26"/>
              </w:rPr>
              <w:t>Thông tư số 42/2025/TT-BCT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Sản phẩm, hàng hóa, dịch vụ áp dụng hợp đồng theo mẫu, điều kiện giao dịch chung thuộc Danh mục sản phẩm, hàng hóa, dịch vụ phải đăng ký do Thủ tướng Chính phủ ban hành.
- Tuân thủ đầy đủ quy định tại Điều 11 của Nghị định số 55/2024/NĐ-CP.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2025-11-27T16:20:25Z</dcterms:created>
  <dc:creator>Apache POI</dc:creator>
</cp:coreProperties>
</file>