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5710/QĐ-BCA-C06</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căn cước cho người từ đủ 14 tuổi trở lên (thực hiện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Cấp, quản lý căn cước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 Công dân đến địa điểm làm thủ tục cấp thẻ căn cước tại cơ quan quản lý căn cước của Công an cấp tỉnh (Phòng Cảnh sát Quản lý hành chính về trật tự xã hội, Công an các tỉnh, thành phố) hoặc Trung tâm phục vụ hành chính công tỉnh, thành phố (nếu đã triển khai) trong cả nước không phụ thuộc vào nơi cư trú đề nghị cấp thẻ căn cước.
+ Công dân thông qua Cổng dịch vụ công quốc gia, Cổng dịch vụ công Bộ Công an, ứng dụng định danh quốc gia lựa chọn thủ tục cấp thẻ căn cước, kiểm tra thông tin của mình được khai thác trong Cơ sở dữ liệu quốc gia về dân cư. Trường hợp thông tin chính xác thì đăng ký thời gian, địa điểm thực hiện thủ tục tại cơ quản quản lý căn cước của Công an cấp tỉnh. Hệ thống sẽ xác nhận và tự động chuyển đề nghị của công dân đến cơ quan quản lý căn cước nơi công dân đề nghị cấp thẻ căn cước.
(Lưu ý: Lộ trình cấp thẻ căn cước cho người từ đủ 14 tuổi trở lên tại cơ quan quản lý căn cước của Công an cấp tỉnh trong cả nước không phụ thuộc vào nơi cư trú thực hiện theo thông báo của Bộ Công an)
- Bước 2: Công dân cung cấp thông tin gồm họ, chữ đệm và tên khai sinh, số định danh cá nhân, nơi cư trú để người tiếp nhận kiểm tra đối chiếu thông tin trong Cơ sở dữ liệu quốc gia về dân cư.
- Bước 3: Cán bộ thu nhận thông tin công dân tìm kiếm thông tin trong Cơ sở dữ liệu quốc gia về dân cư để lập hồ sơ cấp thẻ căn cước.
+ Trường hợp thông tin công dân chưa có trong Cơ sở dữ liệu quốc gia về dân cư Cán bộ thu nhận đề nghị công dân xuất trình một trong các loại giấy tờ pháp lý chứng minh nội dung thông tin nhân thân và hướng dẫn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đầy đủ, chính xác thì sử dụng thông tin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thu nhận ảnh mống mắt của công dân. 
- Bước 5: In Phiếu thu nhận thông tin căn cước, Phiếu thu thập thông tin dân cư (nếu có) chuyển cho công dân kiểm tra, ký xác nhận.
- Bước 6: Thu thẻ Căn cước công dân (nếu có), thu lệ phí (nếu có) và cấp giấy hẹn Trả kết quả giải quyết thủ tục về căn cước (mẫu CC02 ban hành kèm theo Thông tư số 17/2024/TT-BCA ngày 15/5/2024 của Bộ trưởng Bộ Công an). 
Bước 7: Nhận kết quả trực tiếp tại cơ quan quản lý căn cước Công an cấp tỉnh hoặc trả qua dịch vụ bưu chính đến địa chỉ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tiếp tại địa điểm tiếp dân cơ quan quản lý căn cước của Công an cấp tỉnh (Phòng Cảnh sát Quản lý hành chính về trật tự xã hội, Công an các tỉnh, thành phố) hoặc Trung tâm phục vụ hành chính công tỉnh, thành phố (nếu đã triển khai) trong cả nước không phụ thuộc vào nơi cư trú.đề nghị cấp thẻ căn cước.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Thông qua Cổng dịch vụ công quốc gia, Cổng dịch vụ công Bộ Công an, Ứng dụng định danh quốc gia để đăng ký thời gian, địa điểm làm thủ tục đề nghị cấp thẻ căn cước.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thu nhận thông tin căn cước (Mẫu CC01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CC01 Phiếu thu nhận thông tin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giải quyết thủ tục về căn cước (Mẫu DC02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DC02 Phiếu đề nghị giải quyết thủ tục về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công dân chưa có thông tin trong cơ sở dữ liệu quốc gia về dân cư thì hồ sơ còn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thu thập thông tin dân cư (mẫu DC01 ban hành kèm theo Thông tư số 53/2025/TT-BCA ngày 01/7/2025 của Bộ Công an)</w:t>
            </w:r>
          </w:p>
        </w:tc>
        <w:tc>
          <w:p/>
          <w:p>
            <w:pPr>
              <w:spacing w:after="0" w:before="0" w:lineRule="auto" w:line="276"/>
              <w:jc w:val="left"/>
            </w:pPr>
            <w:r>
              <w:rPr>
                <w:rFonts w:ascii="Times New Roman" w:hAnsi="Times New Roman" w:cs="Times New Roman" w:eastAsia="Times New Roman"/>
                <w:b w:val="false"/>
                <w:sz w:val="26"/>
              </w:rPr>
              <w:t>Mẫu DC01 Phiếu thu thập thông tin dân cư.docx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pháp lý chứa thông tin công dân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căn cước của Công an cấp tỉnh (Phòng Cảnh sát Quản lý hành chính về trật tự xã hội, Công an các tỉnh, thành phố trực thuộc Trung ương) hoặc Trung tâm phục vụ hành chính công tỉnh, thành phố trực thuộc Trung ương (nếu đã triển khai)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căn cước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26/2023/QH15</w:t>
            </w:r>
          </w:p>
        </w:tc>
        <w:tc>
          <w:p/>
          <w:p>
            <w:pPr>
              <w:spacing w:after="0" w:before="0" w:lineRule="auto" w:line="276"/>
              <w:jc w:val="left"/>
            </w:pPr>
            <w:r>
              <w:rPr>
                <w:rFonts w:ascii="Times New Roman" w:hAnsi="Times New Roman" w:cs="Times New Roman" w:eastAsia="Times New Roman"/>
                <w:b w:val="false"/>
                <w:sz w:val="26"/>
              </w:rPr>
              <w:t>Luật Căn cước</w:t>
            </w:r>
          </w:p>
        </w:tc>
        <w:tc>
          <w:p/>
          <w:p>
            <w:pPr>
              <w:spacing w:after="0" w:before="0" w:lineRule="auto" w:line="276"/>
              <w:jc w:val="left"/>
            </w:pPr>
            <w:r>
              <w:rPr>
                <w:rFonts w:ascii="Times New Roman" w:hAnsi="Times New Roman" w:cs="Times New Roman" w:eastAsia="Times New Roman"/>
                <w:b w:val="false"/>
                <w:sz w:val="26"/>
              </w:rPr>
              <w:t>27-11-2023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70/2024/NĐ-CP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16/2024/TT-BCA</w:t>
            </w:r>
          </w:p>
        </w:tc>
        <w:tc>
          <w:p/>
          <w:p>
            <w:pPr>
              <w:spacing w:after="0" w:before="0" w:lineRule="auto" w:line="276"/>
              <w:jc w:val="left"/>
            </w:pPr>
            <w:r>
              <w:rPr>
                <w:rFonts w:ascii="Times New Roman" w:hAnsi="Times New Roman" w:cs="Times New Roman" w:eastAsia="Times New Roman"/>
                <w:b w:val="false"/>
                <w:sz w:val="26"/>
              </w:rPr>
              <w:t>Thông tư 16/2024/TT-BCA quy định về mẫu thẻ căn cước, mẫu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17/2024/TT-BCA</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18/2024/TT-BCA</w:t>
            </w:r>
          </w:p>
        </w:tc>
        <w:tc>
          <w:p/>
          <w:p>
            <w:pPr>
              <w:spacing w:after="0" w:before="0" w:lineRule="auto" w:line="276"/>
              <w:jc w:val="left"/>
            </w:pPr>
            <w:r>
              <w:rPr>
                <w:rFonts w:ascii="Times New Roman" w:hAnsi="Times New Roman" w:cs="Times New Roman" w:eastAsia="Times New Roman"/>
                <w:b w:val="false"/>
                <w:sz w:val="26"/>
              </w:rPr>
              <w:t>Thông tư quy định quy định về quy trình cấp, cấp đổi, cấp lại thẻ căn cước,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53/2025/TT-BCA</w:t>
            </w:r>
          </w:p>
        </w:tc>
        <w:tc>
          <w:p/>
          <w:p>
            <w:pPr>
              <w:spacing w:after="0" w:before="0" w:lineRule="auto" w:line="276"/>
              <w:jc w:val="left"/>
            </w:pPr>
            <w:r>
              <w:rPr>
                <w:rFonts w:ascii="Times New Roman" w:hAnsi="Times New Roman" w:cs="Times New Roman" w:eastAsia="Times New Roman"/>
                <w:b w:val="false"/>
                <w:sz w:val="26"/>
              </w:rPr>
              <w:t>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2023; Thông tư số 17/2024/TT-BCA ngày 15 tháng 5 năm 2024 của Bộ trưởng Bộ Công an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thẻ căn cước cho người từ đủ 14 tuổi trở lên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2025-11-27T16:20:41Z</dcterms:created>
  <dc:creator>Apache POI</dc:creator>
</cp:coreProperties>
</file>