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trạm nạp LPG vào chai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thời gian 07 ngày làm việc kể từ ngày nhận được hồ sơ hợp lệ, Sở Công Thương có trách nhiệm cấp điều chỉnh Giấy chứng nhận đủ điều kiện cho thương nhân.</w:t>
      </w:r>
    </w:p>
    <w:p>
      <w:pPr>
        <w:spacing w:after="0" w:before="0" w:lineRule="auto" w:line="276"/>
        <w:jc w:val="both"/>
      </w:pPr>
      <w:r>
        <w:rPr>
          <w:rFonts w:ascii="Times New Roman" w:hAnsi="Times New Roman" w:cs="Times New Roman" w:eastAsia="Times New Roman"/>
          <w:b w:val="false"/>
          <w:sz w:val="26"/>
        </w:rPr>
        <w:t>- Sở Công Thương tiếp nhận hồ sơ đề nghị cấp điều chỉnh Giấy chứng nhận đủ điều kiện trạm nạp LPG vào chai của thương nhân.</w:t>
      </w:r>
    </w:p>
    <w:p>
      <w:pPr>
        <w:spacing w:after="0" w:before="0" w:lineRule="auto" w:line="276"/>
        <w:jc w:val="both"/>
      </w:pPr>
      <w:r>
        <w:rPr>
          <w:rFonts w:ascii="Times New Roman" w:hAnsi="Times New Roman" w:cs="Times New Roman" w:eastAsia="Times New Roman"/>
          <w:b w:val="false"/>
          <w:sz w:val="26"/>
        </w:rPr>
        <w:t>- Thời hạn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điều chỉnh Giấy chứng nhận theo Mẫu số 12 tại Phụ lục kèm theo Nghị định87/2018/NĐ-CP.;	</w:t>
            </w:r>
          </w:p>
        </w:tc>
        <w:tc>
          <w:p/>
          <w:p>
            <w:pPr>
              <w:spacing w:after="0" w:before="0" w:lineRule="auto" w:line="276"/>
              <w:jc w:val="left"/>
            </w:pPr>
            <w:r>
              <w:rPr>
                <w:rFonts w:ascii="Times New Roman" w:hAnsi="Times New Roman" w:cs="Times New Roman" w:eastAsia="Times New Roman"/>
                <w:b w:val="false"/>
                <w:sz w:val="26"/>
              </w:rPr>
              <w:t>Mẫu số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Hồ sơ đề nghị cấp điều chỉnh Giấy chứng nhận đủ điều kiện trạm nạp LPG vào chai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TRẠM NẠP LPG VÀO CHAI/LPG VÀO XE BỒN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2025-11-27T16:20:40Z</dcterms:created>
  <dc:creator>Apache POI</dc:creator>
</cp:coreProperties>
</file>