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doanh nghiệp do Nhà nước nắm giữ 100% vốn điều lệ do cơ quan đại diện chủ sở hữu quyết định thành lập hoặc được giao quản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lập Hồ sơ đề nghị chia, tách gửi cơ quan đại diện chủ sở hữu để thẩm định.</w:t>
      </w:r>
    </w:p>
    <w:p>
      <w:pPr>
        <w:spacing w:after="0" w:before="0" w:lineRule="auto" w:line="276"/>
        <w:jc w:val="both"/>
      </w:pPr>
      <w:r>
        <w:rPr>
          <w:rFonts w:ascii="Times New Roman" w:hAnsi="Times New Roman" w:cs="Times New Roman" w:eastAsia="Times New Roman"/>
          <w:b w:val="false"/>
          <w:sz w:val="26"/>
        </w:rPr>
        <w:t>- Sau khi nhận đủ Hồ sơ đề nghị chia, tách, cơ quan đại diện chủ sở hữu chủ trì lấy ý kiến của Bộ Kế hoạch và Đầu tư, Bộ Tài chính.</w:t>
      </w:r>
    </w:p>
    <w:p>
      <w:pPr>
        <w:spacing w:after="0" w:before="0" w:lineRule="auto" w:line="276"/>
        <w:jc w:val="both"/>
      </w:pPr>
      <w:r>
        <w:rPr>
          <w:rFonts w:ascii="Times New Roman" w:hAnsi="Times New Roman" w:cs="Times New Roman" w:eastAsia="Times New Roman"/>
          <w:b w:val="false"/>
          <w:sz w:val="26"/>
        </w:rPr>
        <w:t>Khi nhận được Hồ sơ, các cơ quan liên quan gửi văn bản tham gia ý kiến đối với các nội dung thuộc phạm vi quản lý đến cơ quan đại diện chủ sở hữu.</w:t>
      </w:r>
    </w:p>
    <w:p>
      <w:pPr>
        <w:spacing w:after="0" w:before="0" w:lineRule="auto" w:line="276"/>
        <w:jc w:val="both"/>
      </w:pPr>
      <w:r>
        <w:rPr>
          <w:rFonts w:ascii="Times New Roman" w:hAnsi="Times New Roman" w:cs="Times New Roman" w:eastAsia="Times New Roman"/>
          <w:b w:val="false"/>
          <w:sz w:val="26"/>
        </w:rPr>
        <w:t>- Khi nhận được ý kiến của các cơ quan liên quan, cơ quan đại diện chủ sở hữu lập báo cáo thẩm định, trình Thủ tướng Chính phủ xem xét, phê duyệt chủ trương.</w:t>
      </w:r>
    </w:p>
    <w:p>
      <w:pPr>
        <w:spacing w:after="0" w:before="0" w:lineRule="auto" w:line="276"/>
        <w:jc w:val="both"/>
      </w:pPr>
      <w:r>
        <w:rPr>
          <w:rFonts w:ascii="Times New Roman" w:hAnsi="Times New Roman" w:cs="Times New Roman" w:eastAsia="Times New Roman"/>
          <w:b w:val="false"/>
          <w:sz w:val="26"/>
        </w:rPr>
        <w:t>- Cơ quan đại diện chủ sở hữu ra quyết định chia, tách doanh nghiệp sau khi được Thủ tướng Chính phủ phê duyệt chủ trương.</w:t>
      </w:r>
    </w:p>
    <w:p>
      <w:pPr>
        <w:spacing w:after="0" w:before="0" w:lineRule="auto" w:line="276"/>
        <w:jc w:val="both"/>
      </w:pPr>
      <w:r>
        <w:rPr>
          <w:rFonts w:ascii="Times New Roman" w:hAnsi="Times New Roman" w:cs="Times New Roman" w:eastAsia="Times New Roman"/>
          <w:b w:val="false"/>
          <w:sz w:val="26"/>
        </w:rPr>
        <w:t>- Sau khi có quyết định chia, tách, doanh nghiệp có trách nhiệm triển khai thực hiện Đề án chia, tách.</w:t>
      </w:r>
    </w:p>
    <w:p>
      <w:pPr>
        <w:spacing w:after="0" w:before="0" w:lineRule="auto" w:line="276"/>
        <w:jc w:val="both"/>
      </w:pPr>
      <w:r>
        <w:rPr>
          <w:rFonts w:ascii="Times New Roman" w:hAnsi="Times New Roman" w:cs="Times New Roman" w:eastAsia="Times New Roman"/>
          <w:b w:val="false"/>
          <w:sz w:val="26"/>
        </w:rPr>
        <w:t>- Doanh nghiệp được thành lập trên cơ sở chia, tách thực hiện các thủ tục đăng ký doanh nghiệp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các cơ quan liên quan gửi văn bản tham gia ý kiến đối với các nội dung thuộc phạm vi quản lý đến cơ quan đại diện chủ sở hữu. - Trong thời hạn 10 ngày làm việc kể từ ngày nhận được ý kiến của các cơ quan liên quan, cơ quan đại diện chủ sở hữu lập báo cáo thẩm định, trình Thủ tướng Chính phủ xem xét, phê duyệt chủ trương. - Cơ quan đại diện chủ sở hữu ra quyết định chia, tách doanh nghiệp trong thời hạn 30 ngày làm việc kể từ ngày Thủ tướng Chính phủ phê duyệt chủ trương.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các cơ quan liên quan gửi văn bản tham gia ý kiến đối với các nội dung thuộc phạm vi quản lý đến cơ quan đại diện chủ sở hữu. - Trong thời hạn 10 ngày làm việc kể từ ngày nhận được ý kiến của các cơ quan liên quan, cơ quan đại diện chủ sở hữu lập báo cáo thẩm định, trình Thủ tướng Chính phủ xem xét, phê duyệt chủ trương. - Cơ quan đại diện chủ sở hữu ra quyết định chia, tách doanh nghiệp trong thời hạn 30 ngày làm việc kể từ ngày Thủ tướng Chính phủ phê duyệt chủ trương.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các cơ quan liên quan gửi văn bản tham gia ý kiến đối với các nội dung thuộc phạm vi quản lý đến cơ quan đại diện chủ sở hữu. - Trong thời hạn 10 ngày làm việc kể từ ngày nhận được ý kiến của các cơ quan liên quan, cơ quan đại diện chủ sở hữu lập báo cáo thẩm định, trình Thủ tướng Chính phủ xem xét, phê duyệt chủ trương. - Cơ quan đại diện chủ sở hữu ra quyết định chia, tách doanh nghiệp trong thời hạn 30 ngày làm việc kể từ ngày Thủ tướng Chính phủ phê duyệt chủ trương.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chia, tách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chia, tách doanh nghiệp phải bao gồm các nội dung chủ yếu sau: a) Tên, địa chỉ các doanh nghiệp trước và sau khi chia, tách; b) Sự cần thiết của việc chia, tách doanh nghiệp; sự phù hợp với chiến lược, kế hoạch phát triển kinh tế - xã hội, quy hoạch ngành quốc gia; c) Mức vốn điều lệ của doanh nghiệp sau khi chia, tách; d) Phương án sắp xếp, sử dụng lao động; đ) Phương án xử lý tài chính, chuyển đổi, bàn giao vốn, tài sản và giải quyết các quyền, nghĩa vụ của các doanh nghiệp liên quan đến việc chia, tách; e) Thời hạn thực hiện chia, tách doanh nghiệp; g) Trường hợp chia, tách doanh nghiệp để hình thành các doanh nghiệp mới thì Đề án chia, tách doanh nghiệp bao gồm thêm các nội dung khác quy định tại Khoản 3 Điều 6 Nghị định 23/2022/NĐ-CP.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năm trước liền kề của doanh nghiệp đã được kiểm toán và báo cáo tài chính quý gần nhất với thời điểm chia, tách.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Điều lệ của doanh nghiệp mới được hình thành sau khi chia, tách.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có liên quan đến việc chia, tách doanh nghiệp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chủ sở hữu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chủ sở hữu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của Thủ tướng Chính phủ phê duyệt (hoặc không phê duyệt) chủ trương., Quyết định chia, tách doanh nghiệp của cơ quan đại diện chủ sở hữu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69/2014/QH13</w:t>
            </w:r>
          </w:p>
        </w:tc>
        <w:tc>
          <w:p/>
          <w:p>
            <w:pPr>
              <w:spacing w:after="0" w:before="0" w:lineRule="auto" w:line="276"/>
              <w:jc w:val="left"/>
            </w:pPr>
            <w:r>
              <w:rPr>
                <w:rFonts w:ascii="Times New Roman" w:hAnsi="Times New Roman" w:cs="Times New Roman" w:eastAsia="Times New Roman"/>
                <w:b w:val="false"/>
                <w:sz w:val="26"/>
              </w:rPr>
              <w:t>Luật 69/2014/QH13</w:t>
            </w:r>
          </w:p>
        </w:tc>
        <w:tc>
          <w:p/>
          <w:p>
            <w:pPr>
              <w:spacing w:after="0" w:before="0" w:lineRule="auto" w:line="276"/>
              <w:jc w:val="left"/>
            </w:pPr>
            <w:r>
              <w:rPr>
                <w:rFonts w:ascii="Times New Roman" w:hAnsi="Times New Roman" w:cs="Times New Roman" w:eastAsia="Times New Roman"/>
                <w:b w:val="false"/>
                <w:sz w:val="26"/>
              </w:rPr>
              <w:t>26-11-2014</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do Nhà nước nắm giữ 100% vốn điều lệ được chia, tách khi đáp ứng đủ các điều kiện sau đây:
- Việc chia, tách doanh nghiệp phải phù hợp với văn bản về sắp xếp, đổi mới doanh nghiệp đã được Thủ tướng Chính phủ phê duyệt. Trường hợp chưa được quy định tại các văn bản này thì cơ quan đại diện chủ sở hữu phải trình Thủ tướng Chính phủ xem xét, quyết định.
- Các doanh nghiệp mới hình thành sau khi chia, tách phải đảm bảo đủ điều kiện như đối với thành lập doanh nghiệp quy định tại Điều 4 Nghị định số 23/2022/NĐ-CP.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Chia, tách doanh nghiệp, do Nhà nước, nắm giữ 100% vốn điều lệ, do cơ quan đại diện, chủ sở hữu, quyết định thành lập, hoặc được giao quản lý</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2025-11-27T16:21:02Z</dcterms:created>
  <dc:creator>Apache POI</dc:creator>
</cp:coreProperties>
</file>