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3339/QĐ-NHCS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tuyển dụng cán bộ Ngân hàng Chính sách xã hội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Xác định nhu cầu tuyển dụng, yêu cầu đối với vị trí cần tuyển dụng, trình độ, tiêu chuẩn tuyển dụng và chỉ tiêu biên chế được giao.</w:t>
      </w:r>
    </w:p>
    <w:p>
      <w:pPr>
        <w:spacing w:after="0" w:before="0" w:lineRule="auto" w:line="276"/>
        <w:jc w:val="both"/>
      </w:pPr>
      <w:r>
        <w:rPr>
          <w:rFonts w:ascii="Times New Roman" w:hAnsi="Times New Roman" w:cs="Times New Roman" w:eastAsia="Times New Roman"/>
          <w:b w:val="false"/>
          <w:sz w:val="26"/>
        </w:rPr>
        <w:t>- Bước 2: Thông báo tuyển dụng trên các phương tiện thông tin đại chúng.</w:t>
      </w:r>
    </w:p>
    <w:p>
      <w:pPr>
        <w:spacing w:after="0" w:before="0" w:lineRule="auto" w:line="276"/>
        <w:jc w:val="both"/>
      </w:pPr>
      <w:r>
        <w:rPr>
          <w:rFonts w:ascii="Times New Roman" w:hAnsi="Times New Roman" w:cs="Times New Roman" w:eastAsia="Times New Roman"/>
          <w:b w:val="false"/>
          <w:sz w:val="26"/>
        </w:rPr>
        <w:t>- Bước 3: Nhận hồ sơ dự tuyển và sơ tuyển</w:t>
      </w:r>
    </w:p>
    <w:p>
      <w:pPr>
        <w:spacing w:after="0" w:before="0" w:lineRule="auto" w:line="276"/>
        <w:jc w:val="both"/>
      </w:pPr>
      <w:r>
        <w:rPr>
          <w:rFonts w:ascii="Times New Roman" w:hAnsi="Times New Roman" w:cs="Times New Roman" w:eastAsia="Times New Roman"/>
          <w:b w:val="false"/>
          <w:sz w:val="26"/>
        </w:rPr>
        <w:t>- Bước 4: Xét duyệt hô sơ đăng ký tuyển dụng</w:t>
      </w:r>
    </w:p>
    <w:p>
      <w:pPr>
        <w:spacing w:after="0" w:before="0" w:lineRule="auto" w:line="276"/>
        <w:jc w:val="both"/>
      </w:pPr>
      <w:r>
        <w:rPr>
          <w:rFonts w:ascii="Times New Roman" w:hAnsi="Times New Roman" w:cs="Times New Roman" w:eastAsia="Times New Roman"/>
          <w:b w:val="false"/>
          <w:sz w:val="26"/>
        </w:rPr>
        <w:t>- Bước 5: Kế hoạch tổ chức thi tuyển</w:t>
      </w:r>
    </w:p>
    <w:p>
      <w:pPr>
        <w:spacing w:after="0" w:before="0" w:lineRule="auto" w:line="276"/>
        <w:jc w:val="both"/>
      </w:pPr>
      <w:r>
        <w:rPr>
          <w:rFonts w:ascii="Times New Roman" w:hAnsi="Times New Roman" w:cs="Times New Roman" w:eastAsia="Times New Roman"/>
          <w:b w:val="false"/>
          <w:sz w:val="26"/>
        </w:rPr>
        <w:t>- Bước 6: Thành lập Hội đồng thi tuyển</w:t>
      </w:r>
    </w:p>
    <w:p>
      <w:pPr>
        <w:spacing w:after="0" w:before="0" w:lineRule="auto" w:line="276"/>
        <w:jc w:val="both"/>
      </w:pPr>
      <w:r>
        <w:rPr>
          <w:rFonts w:ascii="Times New Roman" w:hAnsi="Times New Roman" w:cs="Times New Roman" w:eastAsia="Times New Roman"/>
          <w:b w:val="false"/>
          <w:sz w:val="26"/>
        </w:rPr>
        <w:t>- Bước 7: Tổ chức thi tuyển</w:t>
      </w:r>
    </w:p>
    <w:p>
      <w:pPr>
        <w:spacing w:after="0" w:before="0" w:lineRule="auto" w:line="276"/>
        <w:jc w:val="both"/>
      </w:pPr>
      <w:r>
        <w:rPr>
          <w:rFonts w:ascii="Times New Roman" w:hAnsi="Times New Roman" w:cs="Times New Roman" w:eastAsia="Times New Roman"/>
          <w:b w:val="false"/>
          <w:sz w:val="26"/>
        </w:rPr>
        <w:t>- Bước 8: Tổng hợp kết quả thi</w:t>
      </w:r>
    </w:p>
    <w:p>
      <w:pPr>
        <w:spacing w:after="0" w:before="0" w:lineRule="auto" w:line="276"/>
        <w:jc w:val="both"/>
      </w:pPr>
      <w:r>
        <w:rPr>
          <w:rFonts w:ascii="Times New Roman" w:hAnsi="Times New Roman" w:cs="Times New Roman" w:eastAsia="Times New Roman"/>
          <w:b w:val="false"/>
          <w:sz w:val="26"/>
        </w:rPr>
        <w:t>- Bước 9: Họp Hội đồng tuyển dụng</w:t>
      </w:r>
    </w:p>
    <w:p>
      <w:pPr>
        <w:spacing w:after="0" w:before="0" w:lineRule="auto" w:line="276"/>
        <w:jc w:val="both"/>
      </w:pPr>
      <w:r>
        <w:rPr>
          <w:rFonts w:ascii="Times New Roman" w:hAnsi="Times New Roman" w:cs="Times New Roman" w:eastAsia="Times New Roman"/>
          <w:b w:val="false"/>
          <w:sz w:val="26"/>
        </w:rPr>
        <w:t>- Bước 10: Công bố kết quả thi tuyển và thông báo trúng tuyển</w:t>
      </w:r>
    </w:p>
    <w:p>
      <w:pPr>
        <w:spacing w:after="0" w:before="0" w:lineRule="auto" w:line="276"/>
        <w:jc w:val="both"/>
      </w:pPr>
      <w:r>
        <w:rPr>
          <w:rFonts w:ascii="Times New Roman" w:hAnsi="Times New Roman" w:cs="Times New Roman" w:eastAsia="Times New Roman"/>
          <w:b w:val="false"/>
          <w:sz w:val="26"/>
        </w:rPr>
        <w:t>- Bước 11: Quyết định tuyển dụng thực hiện thử việc đối với lao động được tuyển dụng. Trong thời gian thử việc tham gia khóa đào tạo do Trung tâm Đào tạo tổ chức</w:t>
      </w:r>
    </w:p>
    <w:p>
      <w:pPr>
        <w:spacing w:after="0" w:before="0" w:lineRule="auto" w:line="276"/>
        <w:jc w:val="both"/>
      </w:pPr>
      <w:r>
        <w:rPr>
          <w:rFonts w:ascii="Times New Roman" w:hAnsi="Times New Roman" w:cs="Times New Roman" w:eastAsia="Times New Roman"/>
          <w:b w:val="false"/>
          <w:sz w:val="26"/>
        </w:rPr>
        <w:t>- Bước 12: Tuyển dụng chính thức: ký hợp đồng lao động có xác định thời hạn (01 năm, 03 năm), không xác định thời hạn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Tuỳ thuộc vào số lượng lao động cần tuyển để quy định thời hạn cụ thể.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Nhận hồ sơ trực tiếp tại trụ sở: Hội sở chính, Trung tâm Đào tạo, Trung tâm Công nghệ thông tin, Sở giao dịch, các Chi nhánh NHCSXH tỉnh, thành phố.</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Thành phần hồ sơ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xin dự tuyển (viết bằng tay);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Sơ yếu lý lịch tự thuật có xác nhận của cơ quan có thẩm quyền (không quá 06 tháng);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khai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văn bằng, chứng chỉ chuyên môn (bản sao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khám sức khoẻ của cơ quan y tế có thẩm quyền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hành chính, Hợp đồng lao động., Phê duyệt (thông báo);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930/NHCS-TCCB</w:t>
            </w:r>
          </w:p>
        </w:tc>
        <w:tc>
          <w:p/>
          <w:p>
            <w:pPr>
              <w:spacing w:after="0" w:before="0" w:lineRule="auto" w:line="276"/>
              <w:jc w:val="left"/>
            </w:pPr>
            <w:r>
              <w:rPr>
                <w:rFonts w:ascii="Times New Roman" w:hAnsi="Times New Roman" w:cs="Times New Roman" w:eastAsia="Times New Roman"/>
                <w:b w:val="false"/>
                <w:sz w:val="26"/>
              </w:rPr>
              <w:t>V/v quy chế thi tuyển cán bộ NHCSXH</w:t>
            </w:r>
          </w:p>
        </w:tc>
        <w:tc>
          <w:p/>
          <w:p>
            <w:pPr>
              <w:spacing w:after="0" w:before="0" w:lineRule="auto" w:line="276"/>
              <w:jc w:val="left"/>
            </w:pPr>
            <w:r>
              <w:rPr>
                <w:rFonts w:ascii="Times New Roman" w:hAnsi="Times New Roman" w:cs="Times New Roman" w:eastAsia="Times New Roman"/>
                <w:b w:val="false"/>
                <w:sz w:val="26"/>
              </w:rPr>
              <w:t>24-07-2003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2004/NHCS-TCCB</w:t>
            </w:r>
          </w:p>
        </w:tc>
        <w:tc>
          <w:p/>
          <w:p>
            <w:pPr>
              <w:spacing w:after="0" w:before="0" w:lineRule="auto" w:line="276"/>
              <w:jc w:val="left"/>
            </w:pPr>
            <w:r>
              <w:rPr>
                <w:rFonts w:ascii="Times New Roman" w:hAnsi="Times New Roman" w:cs="Times New Roman" w:eastAsia="Times New Roman"/>
                <w:b w:val="false"/>
                <w:sz w:val="26"/>
              </w:rPr>
              <w:t>V/v hướng dẫn công tác tuyển dụng cán bộ, viên chức NHCSXH</w:t>
            </w:r>
          </w:p>
        </w:tc>
        <w:tc>
          <w:p/>
          <w:p>
            <w:pPr>
              <w:spacing w:after="0" w:before="0" w:lineRule="auto" w:line="276"/>
              <w:jc w:val="left"/>
            </w:pPr>
            <w:r>
              <w:rPr>
                <w:rFonts w:ascii="Times New Roman" w:hAnsi="Times New Roman" w:cs="Times New Roman" w:eastAsia="Times New Roman"/>
                <w:b w:val="false"/>
                <w:sz w:val="26"/>
              </w:rPr>
              <w:t>18-10-2004</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1124/NHCS-TCCB</w:t>
            </w:r>
          </w:p>
        </w:tc>
        <w:tc>
          <w:p/>
          <w:p>
            <w:pPr>
              <w:spacing w:after="0" w:before="0" w:lineRule="auto" w:line="276"/>
              <w:jc w:val="left"/>
            </w:pPr>
            <w:r>
              <w:rPr>
                <w:rFonts w:ascii="Times New Roman" w:hAnsi="Times New Roman" w:cs="Times New Roman" w:eastAsia="Times New Roman"/>
                <w:b w:val="false"/>
                <w:sz w:val="26"/>
              </w:rPr>
              <w:t>V/v tuyển dụng cán bộ</w:t>
            </w:r>
          </w:p>
        </w:tc>
        <w:tc>
          <w:p/>
          <w:p>
            <w:pPr>
              <w:spacing w:after="0" w:before="0" w:lineRule="auto" w:line="276"/>
              <w:jc w:val="left"/>
            </w:pPr>
            <w:r>
              <w:rPr>
                <w:rFonts w:ascii="Times New Roman" w:hAnsi="Times New Roman" w:cs="Times New Roman" w:eastAsia="Times New Roman"/>
                <w:b w:val="false"/>
                <w:sz w:val="26"/>
              </w:rPr>
              <w:t>22-06-2007</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3719/NHCS-TCCB</w:t>
            </w:r>
          </w:p>
        </w:tc>
        <w:tc>
          <w:p/>
          <w:p>
            <w:pPr>
              <w:spacing w:after="0" w:before="0" w:lineRule="auto" w:line="276"/>
              <w:jc w:val="left"/>
            </w:pPr>
            <w:r>
              <w:rPr>
                <w:rFonts w:ascii="Times New Roman" w:hAnsi="Times New Roman" w:cs="Times New Roman" w:eastAsia="Times New Roman"/>
                <w:b w:val="false"/>
                <w:sz w:val="26"/>
              </w:rPr>
              <w:t>V/v ký hợp đồng lao động đối với cán bộ mới tuyển dụng và tiếp nhận từ các ngành khác đến trong hệ thống NHCSXH</w:t>
            </w:r>
          </w:p>
        </w:tc>
        <w:tc>
          <w:p/>
          <w:p>
            <w:pPr>
              <w:spacing w:after="0" w:before="0" w:lineRule="auto" w:line="276"/>
              <w:jc w:val="left"/>
            </w:pPr>
            <w:r>
              <w:rPr>
                <w:rFonts w:ascii="Times New Roman" w:hAnsi="Times New Roman" w:cs="Times New Roman" w:eastAsia="Times New Roman"/>
                <w:b w:val="false"/>
                <w:sz w:val="26"/>
              </w:rPr>
              <w:t>26-12-2008</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Nhu cầu cán bộ, tiêu chuẩn chuyên môn nghiệp vụ của ngạch viên chức bố trí làm việc tại cơ quan.
- Có đơn xin dự tuyển hợp lệ theo quy định của NHCSXH; lý lịch rõ ràng được chính quyền địa phương nơi đăng ký hộ khẩu thường trú hoặc nơi đang công tác xác nhận; có đủ các văn bằng, chứng chỉ đào tạo theo yêu cầu trình độ của vị trí công việc dự kiến tuyển dụng; trình độ tốt nghiệp hệ chính quy các trường Đại học chuyên ngành Tài chính - Ngân hàng; có đủ sức khoẻ để đảm nhiệm công tác; tuổi tuyển dụng lần đầu không quá 30; phải tham gia khóa đào tạo nghiệp vụ đối với cán bộ mới tuyển dụng.
- Không có tiền án, tiền sự; không trong thời gian bị truy cứu trách nhiệm hình sự, chấp hành án phạt tù, cải tạo không giam giữ, quản chế, đang bị biện pháp giáo dục tại xã, phường, thị trấn hoặc đưa vào cơ sở chữa bệnh, cơ sở giáo dục; bị sa thải theo đúng luật từ các tổ chức, đơn vị khác; đang trong thời gian thi hành kỷ luật ở đơn vị cũ.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2025-11-27T16:21:17Z</dcterms:created>
  <dc:creator>Apache POI</dc:creator>
</cp:coreProperties>
</file>