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2.000223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2153/QĐ-NHNN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điều chỉnh, gia hạn Giấy phép thu, chi ngoại tệ và các hoạt động ngoại hối khác(đối với doanh nghiệp kinh doanh casino)</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ngoại hối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Doanh nghiệpgửi 02 (hai) bộ hồ sơ qua đường bưu điện hoặc nộp trực tiếp cho Ngân hàng Nhà nước Khu vực trên địa bàn nơi doanh nghiệp đặt Điểm kinh doanh casino.</w:t>
      </w:r>
    </w:p>
    <w:p>
      <w:pPr>
        <w:spacing w:after="0" w:before="0" w:lineRule="auto" w:line="276"/>
        <w:jc w:val="both"/>
      </w:pPr>
      <w:r>
        <w:rPr>
          <w:rFonts w:ascii="Times New Roman" w:hAnsi="Times New Roman" w:cs="Times New Roman" w:eastAsia="Times New Roman"/>
          <w:b w:val="false"/>
          <w:sz w:val="26"/>
        </w:rPr>
        <w:t>+ Bước 2: Trong thời hạn 15 (mười lăm) ngày kể từ ngày nhận hồ sơ, Ngân hàng Nhà nước Khu vực chịu trách nhiệm kiểm tra tính đầy đủ và hợp lệ của bộ hồ sơvà gửi 01 bộ hồ sơ đến Ngân hàng Nhà nước Việt Nam (Cục Quản lý ngoại hối)kèm theo ý kiến đánh giá bằng văn bản của Ngân hàng Nhà nước Khu vực về thành phần hồ sơ.</w:t>
      </w:r>
    </w:p>
    <w:p>
      <w:pPr>
        <w:spacing w:after="0" w:before="0" w:lineRule="auto" w:line="276"/>
        <w:jc w:val="both"/>
      </w:pPr>
      <w:r>
        <w:rPr>
          <w:rFonts w:ascii="Times New Roman" w:hAnsi="Times New Roman" w:cs="Times New Roman" w:eastAsia="Times New Roman"/>
          <w:b w:val="false"/>
          <w:sz w:val="26"/>
        </w:rPr>
        <w:t>+ Bước 3: Trong thời hạn 30 (ba mươi) ngày kể từ ngày nhận được đầy đủ hồ sơ theo quy định, Ngân hàng Nhà nước Việt Nam xem xét và cấp lại, điều chỉnh, gia hạn Giấy phép thu, chi ngoại tệ và các hoạt động ngoại hối khác. Trong trường hợp từ chối, Ngân hàng Nhà nước Việt Nam thông báo bằng văn bản nêu rõ lý do từ chối gửi doanh nghiệp.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xml:space="preserve"> 30 ngày kể từ ngày Ngân hàng Nhà nước Việt Nam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xml:space="preserve"> 30 ngày kể từ ngày Ngân hàng Nhà nước Việt Nam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cấp lại/điều chỉnh/gia hạn Giấy phép thu, chi ngoại tệ và các hoạt động ngoại hối khác(theo mẫu tại Phụ lục 03 Thông tư số 10/2017/TT-NHNN);</w:t>
            </w:r>
          </w:p>
        </w:tc>
        <w:tc>
          <w:p/>
          <w:p>
            <w:pPr>
              <w:spacing w:after="0" w:before="0" w:lineRule="auto" w:line="276"/>
              <w:jc w:val="left"/>
            </w:pPr>
            <w:r>
              <w:rPr>
                <w:rFonts w:ascii="Times New Roman" w:hAnsi="Times New Roman" w:cs="Times New Roman" w:eastAsia="Times New Roman"/>
                <w:b w:val="false"/>
                <w:sz w:val="26"/>
              </w:rPr>
              <w:t>Phlc3.docx</w:t>
            </w:r>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có chứng thực hoặc bản sao kèm xuất trình bản chính để đối chiếu Giấy chứng nhận đăng ký đầu tư hoặc quyết định chủ trương đầu tư (đối với trường hợp cấp lại);</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2</w:t>
            </w:r>
          </w:p>
        </w:tc>
      </w:tr>
      <w:tr>
        <w:tc>
          <w:p/>
          <w:p>
            <w:pPr>
              <w:spacing w:after="0" w:before="0" w:lineRule="auto" w:line="276"/>
              <w:jc w:val="left"/>
            </w:pPr>
            <w:r>
              <w:rPr>
                <w:rFonts w:ascii="Times New Roman" w:hAnsi="Times New Roman" w:cs="Times New Roman" w:eastAsia="Times New Roman"/>
                <w:b w:val="false"/>
                <w:sz w:val="26"/>
              </w:rPr>
              <w:t>Bản sao có chứng thực hoặc bản sao kèm xuất trình bản chính để đối chiếu Giấy chứng nhận đủ điều kiện kinh doanh casino (đối với trường hợp cấp lại);</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2</w:t>
            </w:r>
          </w:p>
        </w:tc>
      </w:tr>
      <w:tr>
        <w:tc>
          <w:p/>
          <w:p>
            <w:pPr>
              <w:spacing w:after="0" w:before="0" w:lineRule="auto" w:line="276"/>
              <w:jc w:val="left"/>
            </w:pPr>
            <w:r>
              <w:rPr>
                <w:rFonts w:ascii="Times New Roman" w:hAnsi="Times New Roman" w:cs="Times New Roman" w:eastAsia="Times New Roman"/>
                <w:b w:val="false"/>
                <w:sz w:val="26"/>
              </w:rPr>
              <w:t>Bản sao có chứng thực hoặc bản sao kèm xuất trình bản chính để đối chiếu Giấy phép đã được cấp còn hiệu lực (đối với trường hợp gia hạn, Giấy phép còn hiệu lực tối thiểu là 01 tháng trước khi làm đơn xin gia hạn);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2</w:t>
            </w:r>
          </w:p>
        </w:tc>
      </w:tr>
      <w:tr>
        <w:tc>
          <w:p/>
          <w:p>
            <w:pPr>
              <w:spacing w:after="0" w:before="0" w:lineRule="auto" w:line="276"/>
              <w:jc w:val="left"/>
            </w:pPr>
            <w:r>
              <w:rPr>
                <w:rFonts w:ascii="Times New Roman" w:hAnsi="Times New Roman" w:cs="Times New Roman" w:eastAsia="Times New Roman"/>
                <w:b w:val="false"/>
                <w:sz w:val="26"/>
              </w:rPr>
              <w:t>Văn bản, giấy tờ chứng minh về việc Giấy phép đã bị mất, thất lạc, bị hư hỏng (đối với trường hợp cấp lại,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giấy tờ chứng minh nội dung điều chỉnh phù hợp với quy định tại điểm a khoản 2 Điều 33 Nghị định 03/2017/NĐ-CP (đối với trường hợp điều chỉnh,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có chứng thực hoặc bản sao kèm xuất trình bản chính để đối chiếu Giấy chứng nhận đăng ký đầu tư hoặc quyết định chủ trương đầu tư (đối với trường hợp gia hạn).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2</w:t>
            </w:r>
          </w:p>
        </w:tc>
      </w:tr>
      <w:tr>
        <w:tc>
          <w:p/>
          <w:p>
            <w:pPr>
              <w:spacing w:after="0" w:before="0" w:lineRule="auto" w:line="276"/>
              <w:jc w:val="left"/>
            </w:pPr>
            <w:r>
              <w:rPr>
                <w:rFonts w:ascii="Times New Roman" w:hAnsi="Times New Roman" w:cs="Times New Roman" w:eastAsia="Times New Roman"/>
                <w:b w:val="false"/>
                <w:sz w:val="26"/>
              </w:rPr>
              <w:t>Bản sao có chứng thực hoặc bản sao kèm xuất trình bản chính để đối chiếu Giấy chứng nhận đủ điều kiện kinh doanh casino (đối với trường hợp gia hạn).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2</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Khu vực</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thu, chi ngoại tệ và các hoạt động ngoại hối khác (đối với doanh nghiệp kinh doanh casino)</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03/2017/NĐ-CP</w:t>
            </w:r>
          </w:p>
        </w:tc>
        <w:tc>
          <w:p/>
          <w:p>
            <w:pPr>
              <w:spacing w:after="0" w:before="0" w:lineRule="auto" w:line="276"/>
              <w:jc w:val="left"/>
            </w:pPr>
            <w:r>
              <w:rPr>
                <w:rFonts w:ascii="Times New Roman" w:hAnsi="Times New Roman" w:cs="Times New Roman" w:eastAsia="Times New Roman"/>
                <w:b w:val="false"/>
                <w:sz w:val="26"/>
              </w:rPr>
              <w:t>Về kinh doanh casino</w:t>
            </w:r>
          </w:p>
        </w:tc>
        <w:tc>
          <w:p/>
          <w:p>
            <w:pPr>
              <w:spacing w:after="0" w:before="0" w:lineRule="auto" w:line="276"/>
              <w:jc w:val="left"/>
            </w:pPr>
            <w:r>
              <w:rPr>
                <w:rFonts w:ascii="Times New Roman" w:hAnsi="Times New Roman" w:cs="Times New Roman" w:eastAsia="Times New Roman"/>
                <w:b w:val="false"/>
                <w:sz w:val="26"/>
              </w:rPr>
              <w:t>16-01-2017</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10/2017/TT-NHNN</w:t>
            </w:r>
          </w:p>
        </w:tc>
        <w:tc>
          <w:p/>
          <w:p>
            <w:pPr>
              <w:spacing w:after="0" w:before="0" w:lineRule="auto" w:line="276"/>
              <w:jc w:val="left"/>
            </w:pPr>
            <w:r>
              <w:rPr>
                <w:rFonts w:ascii="Times New Roman" w:hAnsi="Times New Roman" w:cs="Times New Roman" w:eastAsia="Times New Roman"/>
                <w:b w:val="false"/>
                <w:sz w:val="26"/>
              </w:rPr>
              <w:t>Hướng dẫn về quản lý ngoại hối đối với hoạt động kinh doanh casino</w:t>
            </w:r>
          </w:p>
        </w:tc>
        <w:tc>
          <w:p/>
          <w:p>
            <w:pPr>
              <w:spacing w:after="0" w:before="0" w:lineRule="auto" w:line="276"/>
              <w:jc w:val="left"/>
            </w:pPr>
            <w:r>
              <w:rPr>
                <w:rFonts w:ascii="Times New Roman" w:hAnsi="Times New Roman" w:cs="Times New Roman" w:eastAsia="Times New Roman"/>
                <w:b w:val="false"/>
                <w:sz w:val="26"/>
              </w:rPr>
              <w:t>30-08-2017</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Đối với trường hợp cấp lại Giấy phép: Doanh nghiệp được cấp lại Giấy phép trong trường hợp Giấy phép bị mất, thất lạc, hư hỏng do thiên tai, hỏa hoạn hoặc do các nguyên nhân khách quan khác.
 + Đối với trường hợp điều chỉnh Giấy phép: Doanh nghiệp được điều chỉnh Giấy phép trong các trường hợp sau: (i) Thay đổi tên doanh nghiệp; (ii) Thay đổi ngân hàng được phép kinh doanh, cung ứng dịch vụ ngoại hối nơi doanh nghiệp mở tài khoản chuyên dùng ngoại tệ; (iii) Thay đổi mức tồn quỹ ngoại tệ tiền mặt.
 + Đối với trường hợp gia hạn Giấy phép: 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https://thutuc.dichvucong.gov.vn/p/home/dvc-tthc-thu-tuc-hanh-chinh-chi-tiet.html?ma_thu_tuc=714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2025-11-27T16:21:30Z</dcterms:created>
  <dc:creator>Apache POI</dc:creator>
</cp:coreProperties>
</file>