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Chia, tách doanh nghiệp do Nhà nước nắm giữ 100% vốn điều lệ do Thủ tướng Chính phủ quyết định thành lập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sắp xếp lại doanh nghiệp do Nhà nước nắm giữ 100 phần trăm vốn điều lệ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quan đại diện chủ sở hữu chỉ đạo doanh nghiệp lập Hồ sơ đề nghị chia, tách gửi Hồ sơ gốc đến Bộ Kế hoạch và Đầu tư để thẩm định.</w:t>
      </w:r>
    </w:p>
    <w:p>
      <w:pPr>
        <w:spacing w:after="0" w:before="0" w:lineRule="auto" w:line="276"/>
        <w:jc w:val="both"/>
      </w:pPr>
      <w:r>
        <w:rPr>
          <w:rFonts w:ascii="Times New Roman" w:hAnsi="Times New Roman" w:cs="Times New Roman" w:eastAsia="Times New Roman"/>
          <w:b w:val="false"/>
          <w:sz w:val="26"/>
        </w:rPr>
        <w:t>- Sau khi nhận đủ Hồ sơ đề nghị chia, tách, Bộ Kế hoạch và Đầu tư chủ trì lấy ý kiến của Bộ Tài chính, Bộ Nội vụ, Bộ Tư pháp, Bộ Lao động - Thương binh và Xã hội, Bộ quản lý ngành và các cơ quan liên quan (trong trường hợp cần thiết).
Khi ngày nhận được Hồ sơ đề nghị chia, tách, các cơ quan liên quan có văn bản gửi Bộ Kế hoạch và Đầu tư để tham gia ý kiến đối với các nội dung thuộc phạm vi quản lý.</w:t>
      </w:r>
    </w:p>
    <w:p>
      <w:pPr>
        <w:spacing w:after="0" w:before="0" w:lineRule="auto" w:line="276"/>
        <w:jc w:val="both"/>
      </w:pPr>
      <w:r>
        <w:rPr>
          <w:rFonts w:ascii="Times New Roman" w:hAnsi="Times New Roman" w:cs="Times New Roman" w:eastAsia="Times New Roman"/>
          <w:b w:val="false"/>
          <w:sz w:val="26"/>
        </w:rPr>
        <w:t>- Khi nhận được ý kiến của các cơ quan liên quan, Bộ Kế hoạch và Đầu tư trình Thủ tướng Chính phủ báo cáo thẩm định, đồng thời gửi cơ quan đại diện chủ sở hữu để tiếp thu, giải trình ý kiến thẩm định.</w:t>
      </w:r>
    </w:p>
    <w:p>
      <w:pPr>
        <w:shd w:val="clear" w:color="auto" w:fill="F2F6F9"/>
        <w:spacing w:after="0" w:before="120" w:lineRule="auto" w:line="276"/>
        <w:jc w:val="both"/>
      </w:pPr>
      <w:r>
        <w:rPr>
          <w:rFonts w:ascii="Times New Roman" w:hAnsi="Times New Roman" w:cs="Times New Roman" w:eastAsia="Times New Roman"/>
          <w:b w:val="true"/>
          <w:sz w:val="26"/>
        </w:rPr>
        <w:t>Trường hợp có ý kiến khác nhau về những nội dung chủ yếu của Hồ sơ, Bộ Kế hoạch và Đầu tư tổ chức họp với các cơ quan liên quan trước khi trình báo cáo thẩm định lên Thủ tướng Chính phủ.</w:t>
      </w:r>
    </w:p>
    <w:p>
      <w:pPr>
        <w:spacing w:after="0" w:before="0" w:lineRule="auto" w:line="276"/>
        <w:jc w:val="both"/>
      </w:pPr>
      <w:r>
        <w:rPr>
          <w:rFonts w:ascii="Times New Roman" w:hAnsi="Times New Roman" w:cs="Times New Roman" w:eastAsia="Times New Roman"/>
          <w:b w:val="false"/>
          <w:sz w:val="26"/>
        </w:rPr>
        <w:t>- Cơ quan đại diện chủ sở hữu tiếp thu, giải trình ý kiến thẩm định của Bộ Kế hoạch và Đầu tư, hoàn thiện Hồ sơ trình Thủ tướng Chính phủ xem xét, quyết định việc chia, tách.</w:t>
      </w:r>
    </w:p>
    <w:p>
      <w:pPr>
        <w:spacing w:after="0" w:before="0" w:lineRule="auto" w:line="276"/>
        <w:jc w:val="both"/>
      </w:pPr>
      <w:r>
        <w:rPr>
          <w:rFonts w:ascii="Times New Roman" w:hAnsi="Times New Roman" w:cs="Times New Roman" w:eastAsia="Times New Roman"/>
          <w:b w:val="false"/>
          <w:sz w:val="26"/>
        </w:rPr>
        <w:t>- Sau khi có quyết định chia, tách, doanh nghiệp do Thủ tướng Chính phủ quyết định thành lập có trách nhiệm triển khai thực hiện Đề án chia, tách.</w:t>
      </w:r>
    </w:p>
    <w:p>
      <w:pPr>
        <w:spacing w:after="0" w:before="0" w:lineRule="auto" w:line="276"/>
        <w:jc w:val="both"/>
      </w:pPr>
      <w:r>
        <w:rPr>
          <w:rFonts w:ascii="Times New Roman" w:hAnsi="Times New Roman" w:cs="Times New Roman" w:eastAsia="Times New Roman"/>
          <w:b w:val="false"/>
          <w:sz w:val="26"/>
        </w:rPr>
        <w:t>- Doanh nghiệp được thành lập trên cơ sở chia, tách thực hiện các thủ tục đăng ký doanh nghiệp theo quy định của pháp luật.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Trong thời hạn 15 ngày làm việc kể từ ngày nhận được Hồ sơ đề nghị chia, tách, các cơ quan liên quan có văn bản gửi Bộ Kế hoạch và Đầu tư để tham gia ý kiến đối với các nội dung thuộc phạm vi quản lý. - Trong thời hạn 10 ngày làm việc, kể từ ngày nhận được ý kiến của các cơ quan liên quan, Bộ Kế hoạch và Đầu tư trình Thủ tướng Chính phủ báo cáo thẩm định, đồng thời gửi cơ quan đại diện chủ sở hữu để tiếp thu, giải trình ý kiến thẩm định. Trường hợp có ý kiến khác nhau về những nội dung chủ yếu của Hồ sơ, Bộ Kế hoạch và Đầu tư tổ chức họp với các cơ quan liên quan trước khi trình báo cáo thẩm định lên Thủ tướng Chính phủ; thời gian có thể kéo dài thêm không quá 10 ngày làm việc. </w:t>
            </w:r>
          </w:p>
        </w:tc>
        <w:tc>
          <w:p/>
          <w:p>
            <w:pPr>
              <w:spacing w:after="0" w:before="0" w:lineRule="auto" w:line="276"/>
              <w:jc w:val="left"/>
            </w:pPr>
            <w:r>
              <w:rPr>
                <w:rFonts w:ascii="Times New Roman" w:hAnsi="Times New Roman" w:cs="Times New Roman" w:eastAsia="Times New Roman"/>
                <w:b w:val="false"/>
                <w:sz w:val="26"/>
              </w:rPr>
              <w:t>Phí : 0 Đồng</w:t>
              <w:t xml:space="preserve"> (Không có)</w:t>
            </w:r>
          </w:p>
        </w:tc>
        <w:tc>
          <w:p/>
          <w:p>
            <w:pPr>
              <w:spacing w:after="0" w:before="0" w:lineRule="auto" w:line="276"/>
              <w:jc w:val="left"/>
            </w:pPr>
            <w:r>
              <w:rPr>
                <w:rFonts w:ascii="Times New Roman" w:hAnsi="Times New Roman" w:cs="Times New Roman" w:eastAsia="Times New Roman"/>
                <w:b w:val="false"/>
                <w:sz w:val="26"/>
              </w:rPr>
              <w:t>Trực tiếp tại trụ sở cơ quan hành chính nhà nước.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Trong thời hạn 15 ngày làm việc kể từ ngày nhận được Hồ sơ đề nghị chia, tách, các cơ quan liên quan có văn bản gửi Bộ Kế hoạch và Đầu tư để tham gia ý kiến đối với các nội dung thuộc phạm vi quản lý. - Trong thời hạn 10 ngày làm việc, kể từ ngày nhận được ý kiến của các cơ quan liên quan, Bộ Kế hoạch và Đầu tư trình Thủ tướng Chính phủ báo cáo thẩm định, đồng thời gửi cơ quan đại diện chủ sở hữu để tiếp thu, giải trình ý kiến thẩm định. Trường hợp có ý kiến khác nhau về những nội dung chủ yếu của Hồ sơ, Bộ Kế hoạch và Đầu tư tổ chức họp với các cơ quan liên quan trước khi trình báo cáo thẩm định lên Thủ tướng Chính phủ; thời gian có thể kéo dài thêm không quá 10 ngày làm việc. </w:t>
            </w:r>
          </w:p>
        </w:tc>
        <w:tc>
          <w:p/>
          <w:p>
            <w:pPr>
              <w:spacing w:after="0" w:before="0" w:lineRule="auto" w:line="276"/>
              <w:jc w:val="left"/>
            </w:pPr>
            <w:r>
              <w:rPr>
                <w:rFonts w:ascii="Times New Roman" w:hAnsi="Times New Roman" w:cs="Times New Roman" w:eastAsia="Times New Roman"/>
                <w:b w:val="false"/>
                <w:sz w:val="26"/>
              </w:rPr>
              <w:t>Phí : 0 Đồng</w:t>
              <w:t xml:space="preserve"> (Không có)</w:t>
            </w:r>
          </w:p>
        </w:tc>
        <w:tc>
          <w:p/>
          <w:p>
            <w:pPr>
              <w:spacing w:after="0" w:before="0" w:lineRule="auto" w:line="276"/>
              <w:jc w:val="left"/>
            </w:pPr>
            <w:r>
              <w:rPr>
                <w:rFonts w:ascii="Times New Roman" w:hAnsi="Times New Roman" w:cs="Times New Roman" w:eastAsia="Times New Roman"/>
                <w:b w:val="false"/>
                <w:sz w:val="26"/>
              </w:rPr>
              <w:t>Thông qua hệ thống tiếp nhận văn bản điện tử e-office</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Trong thời hạn 15 ngày làm việc kể từ ngày nhận được Hồ sơ đề nghị chia, tách, các cơ quan liên quan có văn bản gửi Bộ Kế hoạch và Đầu tư để tham gia ý kiến đối với các nội dung thuộc phạm vi quản lý. - Trong thời hạn 10 ngày làm việc, kể từ ngày nhận được ý kiến của các cơ quan liên quan, Bộ Kế hoạch và Đầu tư trình Thủ tướng Chính phủ báo cáo thẩm định, đồng thời gửi cơ quan đại diện chủ sở hữu để tiếp thu, giải trình ý kiến thẩm định. Trường hợp có ý kiến khác nhau về những nội dung chủ yếu của Hồ sơ, Bộ Kế hoạch và Đầu tư tổ chức họp với các cơ quan liên quan trước khi trình báo cáo thẩm định lên Thủ tướng Chính phủ; thời gian có thể kéo dài thêm không quá 10 ngày làm việc. </w:t>
            </w:r>
          </w:p>
        </w:tc>
        <w:tc>
          <w:p/>
          <w:p>
            <w:pPr>
              <w:spacing w:after="0" w:before="0" w:lineRule="auto" w:line="276"/>
              <w:jc w:val="left"/>
            </w:pPr>
            <w:r>
              <w:rPr>
                <w:rFonts w:ascii="Times New Roman" w:hAnsi="Times New Roman" w:cs="Times New Roman" w:eastAsia="Times New Roman"/>
                <w:b w:val="false"/>
                <w:sz w:val="26"/>
              </w:rPr>
              <w:t>Phí : 0 Đồng</w:t>
              <w:t xml:space="preserve"> (Không có)</w:t>
            </w:r>
          </w:p>
        </w:tc>
        <w:tc>
          <w:p/>
          <w:p>
            <w:pPr>
              <w:spacing w:after="0" w:before="0" w:lineRule="auto" w:line="276"/>
              <w:jc w:val="left"/>
            </w:pPr>
            <w:r>
              <w:rPr>
                <w:rFonts w:ascii="Times New Roman" w:hAnsi="Times New Roman" w:cs="Times New Roman" w:eastAsia="Times New Roman"/>
                <w:b w:val="false"/>
                <w:sz w:val="26"/>
              </w:rPr>
              <w:t>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chia, tách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6</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Đề án hợp chia, tách doanh nghiệp phải bao gồm các nội dung chủ yếu sau: a) Tên, địa chỉ các doanh nghiệp trước và sau khi chia, tách; b) Sự cần thiết của việc chia, tách doanh nghiệp; sự phù hợp với chiến lược, kế hoạch phát triển kinh tế - xã hội, quy hoạch ngành quốc gia; c) Mức vốn điều lệ của doanh nghiệp sau khi chia, tách; d) Phương án sắp xếp, sử dụng lao động; đ) Phương án xử lý tài chính, chuyển đổi, bàn giao vốn, tài sản và giải quyết các quyền, nghĩa vụ của các doanh nghiệp liên quan đến việc chia, tách; e) Thời hạn thực hiện hợp chia, tách doanh nghiệp; g) Trường hợp chia, tách doanh nghiệp để hình thành các doanh nghiệp mới thì Đề án chia, tách doanh nghiệp bao gồm thêm các nội dung khác quy định tại Khoản 3 Điều 6 Nghị định 23/2022/NĐ-CP.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6</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tài chính năm trước liền kề của doanh nghiệp đã được kiểm toán và báo cáo tài chính quý gần nhất với thời điểm chia, tách.</w:t>
            </w:r>
          </w:p>
        </w:tc>
        <w:tc>
          <w:p/>
        </w:tc>
        <w:tc>
          <w:p/>
          <w:p>
            <w:pPr>
              <w:spacing w:after="0" w:before="0" w:lineRule="auto" w:line="276"/>
              <w:jc w:val="left"/>
            </w:pPr>
            <w:r>
              <w:rPr>
                <w:rFonts w:ascii="Times New Roman" w:hAnsi="Times New Roman" w:cs="Times New Roman" w:eastAsia="Times New Roman"/>
                <w:b w:val="false"/>
                <w:sz w:val="26"/>
              </w:rPr>
              <w:t xml:space="preserve">Bản chính: </w:t>
              <w:t>6</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Điều lệ của doanh nghiệp mới được hình thành sau khi chia, tách.</w:t>
            </w:r>
          </w:p>
        </w:tc>
        <w:tc>
          <w:p/>
        </w:tc>
        <w:tc>
          <w:p/>
          <w:p>
            <w:pPr>
              <w:spacing w:after="0" w:before="0" w:lineRule="auto" w:line="276"/>
              <w:jc w:val="left"/>
            </w:pPr>
            <w:r>
              <w:rPr>
                <w:rFonts w:ascii="Times New Roman" w:hAnsi="Times New Roman" w:cs="Times New Roman" w:eastAsia="Times New Roman"/>
                <w:b w:val="false"/>
                <w:sz w:val="26"/>
              </w:rPr>
              <w:t xml:space="preserve">Bản chính: </w:t>
              <w:t>6</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khác có liên quan đến việc chia, tách doanh nghiệp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6</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Kế hoạch và Đầu tư</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của Thủ tướng Chính phủ quyết định việc chia, tách doanh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59/2020/QH14</w:t>
            </w:r>
          </w:p>
        </w:tc>
        <w:tc>
          <w:p/>
          <w:p>
            <w:pPr>
              <w:spacing w:after="0" w:before="0" w:lineRule="auto" w:line="276"/>
              <w:jc w:val="left"/>
            </w:pPr>
            <w:r>
              <w:rPr>
                <w:rFonts w:ascii="Times New Roman" w:hAnsi="Times New Roman" w:cs="Times New Roman" w:eastAsia="Times New Roman"/>
                <w:b w:val="false"/>
                <w:sz w:val="26"/>
              </w:rPr>
              <w:t>Luật 59/2020/QH14</w:t>
            </w:r>
          </w:p>
        </w:tc>
        <w:tc>
          <w:p/>
          <w:p>
            <w:pPr>
              <w:spacing w:after="0" w:before="0" w:lineRule="auto" w:line="276"/>
              <w:jc w:val="left"/>
            </w:pPr>
            <w:r>
              <w:rPr>
                <w:rFonts w:ascii="Times New Roman" w:hAnsi="Times New Roman" w:cs="Times New Roman" w:eastAsia="Times New Roman"/>
                <w:b w:val="false"/>
                <w:sz w:val="26"/>
              </w:rPr>
              <w:t>17-06-2020</w:t>
            </w:r>
          </w:p>
        </w:tc>
        <w:tc>
          <w:p/>
        </w:tc>
      </w:tr>
      <w:tr>
        <w:tc>
          <w:p/>
          <w:p>
            <w:pPr>
              <w:spacing w:after="0" w:before="0" w:lineRule="auto" w:line="276"/>
              <w:jc w:val="left"/>
            </w:pPr>
            <w:r>
              <w:rPr>
                <w:rFonts w:ascii="Times New Roman" w:hAnsi="Times New Roman" w:cs="Times New Roman" w:eastAsia="Times New Roman"/>
                <w:b w:val="false"/>
                <w:sz w:val="26"/>
              </w:rPr>
              <w:t>69/2014/QH13</w:t>
            </w:r>
          </w:p>
        </w:tc>
        <w:tc>
          <w:p/>
          <w:p>
            <w:pPr>
              <w:spacing w:after="0" w:before="0" w:lineRule="auto" w:line="276"/>
              <w:jc w:val="left"/>
            </w:pPr>
            <w:r>
              <w:rPr>
                <w:rFonts w:ascii="Times New Roman" w:hAnsi="Times New Roman" w:cs="Times New Roman" w:eastAsia="Times New Roman"/>
                <w:b w:val="false"/>
                <w:sz w:val="26"/>
              </w:rPr>
              <w:t>Luật 69/2014/QH13</w:t>
            </w:r>
          </w:p>
        </w:tc>
        <w:tc>
          <w:p/>
          <w:p>
            <w:pPr>
              <w:spacing w:after="0" w:before="0" w:lineRule="auto" w:line="276"/>
              <w:jc w:val="left"/>
            </w:pPr>
            <w:r>
              <w:rPr>
                <w:rFonts w:ascii="Times New Roman" w:hAnsi="Times New Roman" w:cs="Times New Roman" w:eastAsia="Times New Roman"/>
                <w:b w:val="false"/>
                <w:sz w:val="26"/>
              </w:rPr>
              <w:t>26-11-2014</w:t>
            </w:r>
          </w:p>
        </w:tc>
        <w:tc>
          <w:p/>
        </w:tc>
      </w:tr>
      <w:tr>
        <w:tc>
          <w:p/>
          <w:p>
            <w:pPr>
              <w:spacing w:after="0" w:before="0" w:lineRule="auto" w:line="276"/>
              <w:jc w:val="left"/>
            </w:pPr>
            <w:r>
              <w:rPr>
                <w:rFonts w:ascii="Times New Roman" w:hAnsi="Times New Roman" w:cs="Times New Roman" w:eastAsia="Times New Roman"/>
                <w:b w:val="false"/>
                <w:sz w:val="26"/>
              </w:rPr>
              <w:t>23/2022/NĐ-CP</w:t>
            </w:r>
          </w:p>
        </w:tc>
        <w:tc>
          <w:p/>
          <w:p>
            <w:pPr>
              <w:spacing w:after="0" w:before="0" w:lineRule="auto" w:line="276"/>
              <w:jc w:val="left"/>
            </w:pPr>
            <w:r>
              <w:rPr>
                <w:rFonts w:ascii="Times New Roman" w:hAnsi="Times New Roman" w:cs="Times New Roman" w:eastAsia="Times New Roman"/>
                <w:b w:val="false"/>
                <w:sz w:val="26"/>
              </w:rPr>
              <w:t>Về thành lập, sắp xếp lại, chuyển đổi sở hữu, chuyển giao quyền đại diện chủ sở hữu tại doanh nghiệp do nhà nước nắm giữ 100% vốn điều lệ</w:t>
            </w:r>
          </w:p>
        </w:tc>
        <w:tc>
          <w:p/>
          <w:p>
            <w:pPr>
              <w:spacing w:after="0" w:before="0" w:lineRule="auto" w:line="276"/>
              <w:jc w:val="left"/>
            </w:pPr>
            <w:r>
              <w:rPr>
                <w:rFonts w:ascii="Times New Roman" w:hAnsi="Times New Roman" w:cs="Times New Roman" w:eastAsia="Times New Roman"/>
                <w:b w:val="false"/>
                <w:sz w:val="26"/>
              </w:rPr>
              <w:t>05-04-2022</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do Nhà nước nắm giữ 100% vốn điều lệ được chia, tách khi đáp ứng đủ các điều kiện sau đây:
- Việc chia, tách doanh nghiệp phải phù hợp với văn bản về sắp xếp, đổi mới doanh nghiệp đã được Thủ tướng Chính phủ phê duyệt. Trường hợp chưa được quy định tại các văn bản này thì cơ quan đại diện chủ sở hữu phải trình Thủ tướng Chính phủ xem xét, quyết định.
- Các doanh nghiệp mới hình thành sau khi chia, tách phải đảm bảo đủ điều kiện như đối với thành lập doanh nghiệp quy định tại Điều 4 Nghị định số 23/2022/NĐ-CP.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Chia, tách doanh nghiệp, do Nhà nước nắm giữ 100% vốn điều lệ, do Thủ tướng Chính phủ, quyết định thành lập</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2025-11-27T16:21:39Z</dcterms:created>
  <dc:creator>Apache POI</dc:creator>
</cp:coreProperties>
</file>