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2729/QĐ-BCT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kế hoạch sản xuất xăng dầu, nhập khẩu nguyên liệu để sản xuất xăng dầu, tiêu thụ sản phẩm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Trước ngày 30 tháng 10 hàng năm, thương nhân sản xuất xăng dầu nộp hồ sơ đăng ký kế hoạch sản xuất xăng dầu, nhập khẩu nguyên liệu để sản xuất xăng dầu, tiêu thụ sản phẩm xăng dầu cho năm tiếp theo.
- Trong vòng 10 (mười) ngày làm việc kể từ ngày nhận được hồ sơ đăng ký của thương nhân, Bộ Công Thương xác nhận đăng ký kế hoạch sản xuất xăng dầu, nhập khẩu nguyên liệu để sản xuất xăng dầu và tiêu thụ sản phẩm xăng dầu cho thương nhân thực hiện. 
- Trường hợp từ chối xác nhận, Bộ Công Thương có văn bản thông báo cho thương nhân biết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Mười (10)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Mười (10)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Mười (10)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đăng ký kế hoạch sản xuất xăng dầu, nhập khẩu nguyên liệu để sản xuất xăng dầu và tiêu thụ sản phẩm xăng dầu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đăng ký kế hoạch sản xuất xăng dầu, nhập khẩu nguyên liệu để sản xuất xăng dầu, tiêu thụ sản phẩm xăng dầu theo Mẫu số 6 tại Phụ lục ban hành kèm theo Thông tư số 38/2014/TT-BCT: bốn (04) bản chính.</w:t>
            </w:r>
          </w:p>
        </w:tc>
        <w:tc>
          <w:p/>
          <w:p>
            <w:pPr>
              <w:spacing w:after="0" w:before="0" w:lineRule="auto" w:line="276"/>
              <w:jc w:val="left"/>
            </w:pPr>
            <w:r>
              <w:rPr>
                <w:rFonts w:ascii="Times New Roman" w:hAnsi="Times New Roman" w:cs="Times New Roman" w:eastAsia="Times New Roman"/>
                <w:b w:val="false"/>
                <w:sz w:val="26"/>
              </w:rPr>
              <w:t>Mẫu số 6.doc</w:t>
            </w:r>
          </w:p>
        </w:tc>
        <w:tc>
          <w:p/>
          <w:p>
            <w:pPr>
              <w:spacing w:after="0" w:before="0" w:lineRule="auto" w:line="276"/>
              <w:jc w:val="left"/>
            </w:pPr>
            <w:r>
              <w:rPr>
                <w:rFonts w:ascii="Times New Roman" w:hAnsi="Times New Roman" w:cs="Times New Roman" w:eastAsia="Times New Roman"/>
                <w:b w:val="false"/>
                <w:sz w:val="26"/>
              </w:rPr>
              <w:t xml:space="preserve">Bản chính: </w:t>
              <w:t>4</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đầu tư hoặc Giấy chứng nhận đăng ký doanh nghiệp: một (01) bản sao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thương nhân có cơ sở sản xuất xăng dầu theo đúng quy hoạch đã được phê duyệt và được cấp có thẩm quyền cấp Giấy chứng nhận đầu tư: bản sao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thương nhân có phòng thử nghiệm thuộc sở hữu, đủ năng lực để kiểm tra, thử nghiệm các chỉ tiêu chất lượng xăng dầu theo quy chuẩn kỹ thuật quốc gia tương ứng: bản sao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Thị trường trong nước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đơn đăng ký kế hoạch sản xuất xăng dầu, nhập khẩu nguyên liệu để sản xuất xăng dầu, tiêu thụ sản phẩm xăng dầu của thương nhân có xác nhận của Vụ Thị trường trong nước -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Về kinh doanh xăng dầu</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https://thutuc.dichvucong.gov.vn/p/home/dvc-tthc-thu-tuc-hanh-chinh-chi-tiet.html?ma_thu_tuc=892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2025-11-27T16:23:26Z</dcterms:created>
  <dc:creator>Apache POI</dc:creator>
</cp:coreProperties>
</file>