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2.000282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2072/QĐ-BYT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Tiếp nhận đối tượng cần bảo vệ khẩn cấp vào cơ sở trợ giúp xã hội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Bảo trợ xã hội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Cơ sở trợ giúp xã hội có trách nhiệm tiếp nhận ngay các đối tượng cần sự bảo vệ khẩn cấp để chăm sóc, nuôi dưỡng và hoàn thiện các thủ tục theo quy trình sau:
- Bước 1. Lập biên bản tiếp nhận có chữ ký của cá nhân hoặc đại diện cơ quan, đơn vị phát hiện ra đối tượng (nếu có), chính quyền (hoặc công an) cấp xã, đại diện cơ sở trợ giúp xã hội. Đối với đối tượng là nạn nhân của bạo lực gia đình, nạn nhân bị xâm hại tình dục, nạn nhân bị buôn bán và nạn nhân bị cưỡng bức lao động, biên bản tiếp nhận có chữ ký của đối tượng (nếu có thể).
- Bước 2. Đánh giá về mức độ tổn thương, khả năng phục hồi và nhu cầu trợ giúp của đối tượng để có kế hoạch trợ giúp đối tượng.
- Bước 3. Bảo đảm an toàn và chữa trị những tổn thương về thân thể hoặc tinh thần cho đối tượng kịp thời; đối với trẻ em bị bỏ rơi, thông báo trên các phương tiện thông tin đại chúng trong thời hạn 25 ngày làm việc.
- Bước 4. Quyết định trợ giúp đối tượng tại cơ sở trợ giúp xã hội hoặc chuyển đối tượng về gia đình, cộng đồng.
- Bước 5. Hoàn thành các thủ tục, hồ sơ của đối tượng theo quy định, Trường hợp là trẻ em bị bỏ rơi, cơ sở thực hiện các thủ tục khai sinh cho trẻ theo quy định của pháp luật về hộ tịch.
Các thủ tục, hồ sơ phải hoàn thiện trong 10 ngày làm việc, kể từ khi tiếp nhận đối tượng, trường hợp kéo dài quá 10 ngày làm việc, phải do cơ quan quản lý cấp trên xem xét quyết định.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Cơ sở trợ giúp xã hội có trách nhiệm tiếp nhận ngay các đối tượng cần sự bảo vệ khẩn cấp để chăm sóc, nuôi dưỡng và hoàn thiện các thủ tục theo quy định.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Cơ sở trợ giúp xã hội có trách nhiệm tiếp nhận ngay các đối tượng cần sự bảo vệ khẩn cấp để chăm sóc, nuôi dưỡng và hoàn thiện các thủ tục theo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khai của đối tượng hoặc người giám hộ  (theo Mẫu số 07 ban hành kèm theo Nghị định số 20/2021/NĐ-CP);</w:t>
            </w:r>
          </w:p>
        </w:tc>
        <w:tc>
          <w:p/>
          <w:p>
            <w:pPr>
              <w:spacing w:after="0" w:before="0" w:lineRule="auto" w:line="276"/>
              <w:jc w:val="left"/>
            </w:pPr>
            <w:r>
              <w:rPr>
                <w:rFonts w:ascii="Times New Roman" w:hAnsi="Times New Roman" w:cs="Times New Roman" w:eastAsia="Times New Roman"/>
                <w:b w:val="false"/>
                <w:sz w:val="26"/>
              </w:rPr>
              <w:t>Mus07.docx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chứng minh nhân dân, căn cước công dân  hoặc giấy tờ tùy thân của đối tượng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Biên bản đối với trường hợp khẩn cấp có nguy  cơ đe dọa đến an toàn của đối tượng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Công an Xã, Cơ sở trợ giúp xã hội, Chủ tịch Ủy ban nhân dân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Chính quyền (hoặc công an); Ủy ban nhân dân cấp Xã</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trợ giúp đối tượng tại cơ sở trợ giúp xã hội hoặc chuyển đối tượng về gia đình, cộng đồng (BYT)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20/2021/NĐ-CP</w:t>
            </w:r>
          </w:p>
        </w:tc>
        <w:tc>
          <w:p/>
          <w:p>
            <w:pPr>
              <w:spacing w:after="0" w:before="0" w:lineRule="auto" w:line="276"/>
              <w:jc w:val="left"/>
            </w:pPr>
            <w:r>
              <w:rPr>
                <w:rFonts w:ascii="Times New Roman" w:hAnsi="Times New Roman" w:cs="Times New Roman" w:eastAsia="Times New Roman"/>
                <w:b w:val="false"/>
                <w:sz w:val="26"/>
              </w:rPr>
              <w:t>QUY ĐỊNH CHÍNH SÁCH TRỢ GIÚP XÃ HỘI ĐỐI VỚI ĐỐI TƯỢNG BẢO TRỢ XÃ HỘI</w:t>
            </w:r>
          </w:p>
        </w:tc>
        <w:tc>
          <w:p/>
          <w:p>
            <w:pPr>
              <w:spacing w:after="0" w:before="0" w:lineRule="auto" w:line="276"/>
              <w:jc w:val="left"/>
            </w:pPr>
            <w:r>
              <w:rPr>
                <w:rFonts w:ascii="Times New Roman" w:hAnsi="Times New Roman" w:cs="Times New Roman" w:eastAsia="Times New Roman"/>
                <w:b w:val="false"/>
                <w:sz w:val="26"/>
              </w:rPr>
              <w:t>15-03-2021</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42/2025/NĐ-CP</w:t>
            </w:r>
          </w:p>
        </w:tc>
        <w:tc>
          <w:p/>
          <w:p>
            <w:pPr>
              <w:spacing w:after="0" w:before="0" w:lineRule="auto" w:line="276"/>
              <w:jc w:val="left"/>
            </w:pPr>
            <w:r>
              <w:rPr>
                <w:rFonts w:ascii="Times New Roman" w:hAnsi="Times New Roman" w:cs="Times New Roman" w:eastAsia="Times New Roman"/>
                <w:b w:val="false"/>
                <w:sz w:val="26"/>
              </w:rPr>
              <w:t>Nghị định số 42/2025/NĐ-CP của Chính phủ: Quy định chức năng, nhiệm vụ, quyền hạn và cơ cấu tổ chức của Bộ Y tế</w:t>
            </w:r>
          </w:p>
        </w:tc>
        <w:tc>
          <w:p/>
          <w:p>
            <w:pPr>
              <w:spacing w:after="0" w:before="0" w:lineRule="auto" w:line="276"/>
              <w:jc w:val="left"/>
            </w:pPr>
            <w:r>
              <w:rPr>
                <w:rFonts w:ascii="Times New Roman" w:hAnsi="Times New Roman" w:cs="Times New Roman" w:eastAsia="Times New Roman"/>
                <w:b w:val="false"/>
                <w:sz w:val="26"/>
              </w:rPr>
              <w:t>27-02-2025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45/2025/NĐ-CP</w:t>
            </w:r>
          </w:p>
        </w:tc>
        <w:tc>
          <w:p/>
          <w:p>
            <w:pPr>
              <w:spacing w:after="0" w:before="0" w:lineRule="auto" w:line="276"/>
              <w:jc w:val="left"/>
            </w:pPr>
            <w:r>
              <w:rPr>
                <w:rFonts w:ascii="Times New Roman" w:hAnsi="Times New Roman" w:cs="Times New Roman" w:eastAsia="Times New Roman"/>
                <w:b w:val="false"/>
                <w:sz w:val="26"/>
              </w:rPr>
              <w:t>Nghị định số 45/2025/NĐ-CP của Chính phủ: Quy định tổ chức các cơ quan chuyên môn thuộc Ủy ban nhân dân tỉnh, thành phố trực thuộc trung ương và Ủy ban nhân dân huyện, quận, thị xã, thành phố thuộc tỉnh, thành phố thuộc thành phố trực thuộc trung ương</w:t>
            </w:r>
          </w:p>
        </w:tc>
        <w:tc>
          <w:p/>
          <w:p>
            <w:pPr>
              <w:spacing w:after="0" w:before="0" w:lineRule="auto" w:line="276"/>
              <w:jc w:val="left"/>
            </w:pPr>
            <w:r>
              <w:rPr>
                <w:rFonts w:ascii="Times New Roman" w:hAnsi="Times New Roman" w:cs="Times New Roman" w:eastAsia="Times New Roman"/>
                <w:b w:val="false"/>
                <w:sz w:val="26"/>
              </w:rPr>
              <w:t>28-02-2025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147/2025/NĐ-CP</w:t>
            </w:r>
          </w:p>
        </w:tc>
        <w:tc>
          <w:p/>
          <w:p>
            <w:pPr>
              <w:spacing w:after="0" w:before="0" w:lineRule="auto" w:line="276"/>
              <w:jc w:val="left"/>
            </w:pPr>
            <w:r>
              <w:rPr>
                <w:rFonts w:ascii="Times New Roman" w:hAnsi="Times New Roman" w:cs="Times New Roman" w:eastAsia="Times New Roman"/>
                <w:b w:val="false"/>
                <w:sz w:val="26"/>
              </w:rPr>
              <w:t>Nghị định số 147/2025/NĐ-CP của Chính phủ: Quy định về phân định thẩm quyền của chính quyền địa phương 02 cấp trong lĩnh vực quản lý nhà nước của Bộ Y tế</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Đối tượng cần bảo vệ khẩn cấp theo quy định tại khoản 2 Điều 24 Nghị định số 20/2021/NĐ-CP, cụ thể:
- Nạn nhân của bạo lực gia đình; nạn nhân bị xâm hại tình dục; nạn nhân bị buôn bán; nạn nhân bị cưỡng bức lao động;
- Trẻ em, người lang thang xin ăn trong thời gian chờ đưa về nơi cư trú;
- Đối tượng cần bảo vệ khẩn cấp khác theo quyết định của Chủ tịch Ủy ban nhân dân cấp tỉnh.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https://thutuc.dichvucong.gov.vn/p/home/dvc-tthc-thu-tuc-hanh-chinh-chi-tiet.html?ma_thu_tuc=948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2025-11-27T16:23:51Z</dcterms:created>
  <dc:creator>Apache POI</dc:creator>
</cp:coreProperties>
</file>