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C5B" w:rsidRDefault="00AE3B9B">
      <w:pPr>
        <w:spacing w:after="300" w:line="276" w:lineRule="auto"/>
        <w:jc w:val="center"/>
      </w:pPr>
      <w:r>
        <w:rPr>
          <w:rFonts w:ascii="Times New Roman" w:eastAsia="Times New Roman" w:hAnsi="Times New Roman" w:cs="Times New Roman"/>
          <w:b/>
          <w:sz w:val="26"/>
        </w:rPr>
        <w:t>Chi tiết thủ tục hành chính</w:t>
      </w:r>
    </w:p>
    <w:p w:rsidR="004D0C5B" w:rsidRDefault="00AE3B9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2.000286</w:t>
      </w:r>
    </w:p>
    <w:p w:rsidR="004D0C5B" w:rsidRDefault="00AE3B9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rsidR="004D0C5B" w:rsidRDefault="00AE3B9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Tiếp nhận đối tượng bảo trợ xã hội có hoàn cảnh đặc biệt khó khăn vào cơ sở trợ giúp xã hội</w:t>
      </w:r>
    </w:p>
    <w:p w:rsidR="004D0C5B" w:rsidRDefault="00AE3B9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 Cơ quan khác</w:t>
      </w:r>
    </w:p>
    <w:p w:rsidR="004D0C5B" w:rsidRDefault="00AE3B9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4D0C5B" w:rsidRDefault="00AE3B9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4D0C5B" w:rsidRDefault="00AE3B9B">
      <w:pPr>
        <w:spacing w:after="0" w:line="276" w:lineRule="auto"/>
        <w:jc w:val="both"/>
      </w:pPr>
      <w:r>
        <w:rPr>
          <w:rFonts w:ascii="Times New Roman" w:eastAsia="Times New Roman" w:hAnsi="Times New Roman" w:cs="Times New Roman"/>
          <w:b/>
          <w:sz w:val="26"/>
        </w:rPr>
        <w:t xml:space="preserve">Trình tự thực hiện: </w:t>
      </w:r>
    </w:p>
    <w:p w:rsidR="004D0C5B" w:rsidRDefault="004D0C5B">
      <w:pPr>
        <w:shd w:val="clear" w:color="auto" w:fill="F2F6F9"/>
        <w:spacing w:before="120" w:after="0" w:line="276" w:lineRule="auto"/>
        <w:jc w:val="both"/>
      </w:pPr>
    </w:p>
    <w:p w:rsidR="004D0C5B" w:rsidRDefault="00AE3B9B">
      <w:pPr>
        <w:spacing w:after="0" w:line="276" w:lineRule="auto"/>
        <w:jc w:val="both"/>
      </w:pPr>
      <w:r>
        <w:rPr>
          <w:rFonts w:ascii="Times New Roman" w:eastAsia="Times New Roman" w:hAnsi="Times New Roman" w:cs="Times New Roman"/>
          <w:sz w:val="26"/>
        </w:rPr>
        <w:t>- Bước 1: Đối tượng hoặc người giám hộ chuẩn bị hồ sơ theo quy định gửi Chủ tịch Ủy ban nhân dân cấp xã. - Bước 2: Trong thời hạn 10 ngày làm việc, kể từ ngày nhận được giấy tờ của đối tượng, Chủ tịch Ủy ban nhân dân cấp xã chỉ đạo tổ chức xem xét, thực hiện xác thực và chuẩn hóa thông tin liên quan của đối tượng với cơ sở dữ liệu quốc gia về dân cư, quyết định tiếp nhận đối tượng vào cơ sở trợ giúp xã hội thuộc phạm vi quản lý hoặc có văn bản đề nghị (gửi kèm theo giấy tờ liên quan của người đề nghị) gửi c</w:t>
      </w:r>
      <w:r>
        <w:rPr>
          <w:rFonts w:ascii="Times New Roman" w:eastAsia="Times New Roman" w:hAnsi="Times New Roman" w:cs="Times New Roman"/>
          <w:sz w:val="26"/>
        </w:rPr>
        <w:t>ơ sở trợ giúp xã hội thuộc phạm vi Ủy ban nhân dân cấp tỉnh quản lý. - Bước 3: Trong thời hạn 05 ngày làm việc, kể từ khi nhận được văn bản đề nghị của Chủ tịch Ủy ban nhân dân cấp xã, người đứng đầu cơ sở trợ giúp xã hội xem xét, quyết định tiếp nhận đối tượng vào nuôi dưỡng, chăm sóc tại cơ sở hoặc cung cấp dịch vụ chăm sóc tại cộng đồng. Trường hợp đối tượng không đủ điều kiện tiếp nhận nuôi dưỡng, chăm sóc trong cơ sở trợ giúp xã hội, cơ quan giải quyết thủ tục phải trả lời bằng văn bản và nêu rõ lý do.</w:t>
      </w:r>
    </w:p>
    <w:p w:rsidR="004D0C5B" w:rsidRDefault="00AE3B9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5"/>
        <w:gridCol w:w="3829"/>
        <w:gridCol w:w="965"/>
        <w:gridCol w:w="3792"/>
      </w:tblGrid>
      <w:tr w:rsidR="004D0C5B">
        <w:tblPrEx>
          <w:tblCellMar>
            <w:top w:w="0" w:type="dxa"/>
            <w:bottom w:w="0" w:type="dxa"/>
          </w:tblCellMar>
        </w:tblPrEx>
        <w:tc>
          <w:tcPr>
            <w:tcW w:w="15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Hình thức nộp</w:t>
            </w:r>
          </w:p>
        </w:tc>
        <w:tc>
          <w:tcPr>
            <w:tcW w:w="2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Phí, lệ phí</w:t>
            </w:r>
          </w:p>
        </w:tc>
        <w:tc>
          <w:tcPr>
            <w:tcW w:w="3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Mô tả</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Trực tiếp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 xml:space="preserve">10 ngày làm việc đối với cơ sở trợ giúp xã hội thuộc phạm vi quản lý của Uỷ ban nhân dân xã; 15 ngày làm việc đối với cơ sở trợ giúp xã hội thuộc phạm vi Ủy ban nhân dân cấp tỉnh quản lý </w:t>
            </w:r>
          </w:p>
        </w:tc>
        <w:tc>
          <w:tcPr>
            <w:tcW w:w="0" w:type="auto"/>
          </w:tcPr>
          <w:p w:rsidR="004D0C5B" w:rsidRDefault="004D0C5B"/>
          <w:p w:rsidR="004D0C5B" w:rsidRDefault="004D0C5B">
            <w:pPr>
              <w:spacing w:after="0" w:line="276" w:lineRule="auto"/>
            </w:pP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10 ngày làm việc đối với cơ sở trợ giúp xã hội thuộc phạm vi quản lý của Uỷ ban nhân dân xã; 15 ngày làm việc đối với cơ sở trợ giúp xã hội thuộc phạm vi Ủy ban nhân dân cấp tỉnh quản lý</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lastRenderedPageBreak/>
              <w:t>Trực tuyến</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lastRenderedPageBreak/>
              <w:t xml:space="preserve">10 ngày làm việc đối với cơ sở trợ giúp xã hội thuộc phạm vi quản lý của Uỷ ban nhân dân xã; 15 ngày làm việc đối với cơ sở trợ giúp xã hội thuộc phạm vi Ủy ban nhân dân cấp tỉnh quản lý </w:t>
            </w:r>
          </w:p>
        </w:tc>
        <w:tc>
          <w:tcPr>
            <w:tcW w:w="0" w:type="auto"/>
          </w:tcPr>
          <w:p w:rsidR="004D0C5B" w:rsidRDefault="004D0C5B"/>
          <w:p w:rsidR="004D0C5B" w:rsidRDefault="004D0C5B">
            <w:pPr>
              <w:spacing w:after="0" w:line="276" w:lineRule="auto"/>
            </w:pP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lastRenderedPageBreak/>
              <w:t>10 ngày làm việc đối với cơ sở trợ giúp xã hội thuộc phạm vi quản lý của Uỷ ban nhân dân xã; 15 ngày làm việc đối với cơ sở trợ giúp xã hội thuộc phạm vi Ủy ban nhân dân cấp tỉnh quản lý</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Dịch vụ bưu chính</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 xml:space="preserve">10 ngày làm việc đối với cơ sở trợ giúp xã hội thuộc phạm vi quản lý của Uỷ ban nhân dân xã; 15 ngày làm việc đối với cơ sở trợ giúp xã hội thuộc phạm vi Ủy ban nhân dân cấp tỉnh quản lý </w:t>
            </w:r>
          </w:p>
        </w:tc>
        <w:tc>
          <w:tcPr>
            <w:tcW w:w="0" w:type="auto"/>
          </w:tcPr>
          <w:p w:rsidR="004D0C5B" w:rsidRDefault="004D0C5B"/>
          <w:p w:rsidR="004D0C5B" w:rsidRDefault="004D0C5B">
            <w:pPr>
              <w:spacing w:after="0" w:line="276" w:lineRule="auto"/>
            </w:pP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10 ngày làm việc đối với cơ sở trợ giúp xã hội thuộc phạm vi quản lý của Uỷ ban nhân dân xã; 15 ngày làm việc đối với cơ sở trợ giúp xã hội thuộc phạm vi Ủy ban nhân dân cấp tỉnh quản lý</w:t>
            </w:r>
          </w:p>
        </w:tc>
      </w:tr>
    </w:tbl>
    <w:p w:rsidR="004D0C5B" w:rsidRDefault="00AE3B9B">
      <w:pPr>
        <w:spacing w:before="240" w:after="0" w:line="276" w:lineRule="auto"/>
        <w:jc w:val="both"/>
      </w:pPr>
      <w:r>
        <w:rPr>
          <w:rFonts w:ascii="Times New Roman" w:eastAsia="Times New Roman" w:hAnsi="Times New Roman" w:cs="Times New Roman"/>
          <w:b/>
          <w:sz w:val="26"/>
        </w:rPr>
        <w:t xml:space="preserve">Thành phần hồ sơ: </w:t>
      </w:r>
    </w:p>
    <w:p w:rsidR="004D0C5B" w:rsidRDefault="00AE3B9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71"/>
        <w:gridCol w:w="1571"/>
        <w:gridCol w:w="1169"/>
      </w:tblGrid>
      <w:tr w:rsidR="004D0C5B">
        <w:tblPrEx>
          <w:tblCellMar>
            <w:top w:w="0" w:type="dxa"/>
            <w:bottom w:w="0" w:type="dxa"/>
          </w:tblCellMar>
        </w:tblPrEx>
        <w:tc>
          <w:tcPr>
            <w:tcW w:w="6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Tên giấy tờ</w:t>
            </w:r>
          </w:p>
        </w:tc>
        <w:tc>
          <w:tcPr>
            <w:tcW w:w="2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Mẫu đơn, tờ khai</w:t>
            </w:r>
          </w:p>
        </w:tc>
        <w:tc>
          <w:tcPr>
            <w:tcW w:w="2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Số lượng</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Tờ khai của đối tượng hoặc người giám hộ (theo Mẫu số 07 ban hành kèm theo Nghị định số 20/2021/NĐ-CP);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Mus07.docx</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sao giấy khai sinh đối với trẻ em, trường hợp trẻ em bị bỏ rơi phải làm thủ tục đăng ký khai sinh theo quy định của pháp luật về đăng ký hộ tịch</w:t>
            </w:r>
          </w:p>
        </w:tc>
        <w:tc>
          <w:tcPr>
            <w:tcW w:w="0" w:type="auto"/>
          </w:tcPr>
          <w:p w:rsidR="004D0C5B" w:rsidRDefault="004D0C5B"/>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sao Giấy xác nhận khuyết tật đối với trường hợp là người khuyết tật</w:t>
            </w:r>
          </w:p>
        </w:tc>
        <w:tc>
          <w:tcPr>
            <w:tcW w:w="0" w:type="auto"/>
          </w:tcPr>
          <w:p w:rsidR="004D0C5B" w:rsidRDefault="004D0C5B"/>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Xác nhận của cơ quan y tế có thẩm quyền đối với trường hợp nhiễm HIV</w:t>
            </w:r>
          </w:p>
        </w:tc>
        <w:tc>
          <w:tcPr>
            <w:tcW w:w="0" w:type="auto"/>
          </w:tcPr>
          <w:p w:rsidR="004D0C5B" w:rsidRDefault="004D0C5B"/>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lastRenderedPageBreak/>
              <w:t>Giấy tờ liên quan khác (nếu có)</w:t>
            </w:r>
          </w:p>
        </w:tc>
        <w:tc>
          <w:tcPr>
            <w:tcW w:w="0" w:type="auto"/>
          </w:tcPr>
          <w:p w:rsidR="004D0C5B" w:rsidRDefault="004D0C5B"/>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4D0C5B" w:rsidRDefault="00AE3B9B">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4D0C5B" w:rsidRDefault="00AE3B9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 Cơ sở trợ giúp xã hội</w:t>
      </w:r>
    </w:p>
    <w:p w:rsidR="004D0C5B" w:rsidRDefault="00AE3B9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D0C5B" w:rsidRDefault="00AE3B9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rsidR="004D0C5B" w:rsidRDefault="00AE3B9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D0C5B" w:rsidRDefault="00AE3B9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D0C5B" w:rsidRDefault="00AE3B9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tiếp nhận đối tượng vào cơ sở trợ giúp xã hội (BYT)</w:t>
      </w:r>
    </w:p>
    <w:p w:rsidR="004D0C5B" w:rsidRDefault="00AE3B9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6"/>
        <w:gridCol w:w="5984"/>
        <w:gridCol w:w="753"/>
        <w:gridCol w:w="1058"/>
      </w:tblGrid>
      <w:tr w:rsidR="004D0C5B">
        <w:tblPrEx>
          <w:tblCellMar>
            <w:top w:w="0" w:type="dxa"/>
            <w:bottom w:w="0" w:type="dxa"/>
          </w:tblCellMar>
        </w:tblPrEx>
        <w:tc>
          <w:tcPr>
            <w:tcW w:w="2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Số ký hiệu</w:t>
            </w:r>
          </w:p>
        </w:tc>
        <w:tc>
          <w:tcPr>
            <w:tcW w:w="35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Trích yếu</w:t>
            </w:r>
          </w:p>
        </w:tc>
        <w:tc>
          <w:tcPr>
            <w:tcW w:w="15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Ngày ban hành</w:t>
            </w:r>
          </w:p>
        </w:tc>
        <w:tc>
          <w:tcPr>
            <w:tcW w:w="3000" w:type="dxa"/>
          </w:tcPr>
          <w:p w:rsidR="004D0C5B" w:rsidRDefault="004D0C5B"/>
          <w:p w:rsidR="004D0C5B" w:rsidRDefault="00AE3B9B">
            <w:pPr>
              <w:spacing w:after="0" w:line="276" w:lineRule="auto"/>
              <w:jc w:val="center"/>
            </w:pPr>
            <w:r>
              <w:rPr>
                <w:rFonts w:ascii="Times New Roman" w:eastAsia="Times New Roman" w:hAnsi="Times New Roman" w:cs="Times New Roman"/>
                <w:b/>
                <w:sz w:val="26"/>
              </w:rPr>
              <w:t>Cơ quan ban hành</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20/2021/NĐ-CP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QUY ĐỊNH CHÍNH SÁCH TRỢ GIÚP XÃ HỘI ĐỐI VỚI ĐỐI TƯỢNG BẢO TRỢ XÃ HỘI</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15-03-2021</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Chính phủ</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42/2025/NĐ-CP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27-02-2025</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Chính phủ</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45/2025/NĐ-CP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28-02-2025</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Chính phủ</w:t>
            </w:r>
          </w:p>
        </w:tc>
      </w:tr>
      <w:tr w:rsidR="004D0C5B">
        <w:tblPrEx>
          <w:tblCellMar>
            <w:top w:w="0" w:type="dxa"/>
            <w:bottom w:w="0" w:type="dxa"/>
          </w:tblCellMar>
        </w:tblPrEx>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147/2025/NĐ-CP</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12-06-2025</w:t>
            </w:r>
          </w:p>
        </w:tc>
        <w:tc>
          <w:tcPr>
            <w:tcW w:w="0" w:type="auto"/>
          </w:tcPr>
          <w:p w:rsidR="004D0C5B" w:rsidRDefault="004D0C5B"/>
          <w:p w:rsidR="004D0C5B" w:rsidRDefault="00AE3B9B">
            <w:pPr>
              <w:spacing w:after="0" w:line="276" w:lineRule="auto"/>
            </w:pPr>
            <w:r>
              <w:rPr>
                <w:rFonts w:ascii="Times New Roman" w:eastAsia="Times New Roman" w:hAnsi="Times New Roman" w:cs="Times New Roman"/>
                <w:sz w:val="26"/>
              </w:rPr>
              <w:t>Chính phủ</w:t>
            </w:r>
          </w:p>
        </w:tc>
      </w:tr>
    </w:tbl>
    <w:p w:rsidR="004D0C5B" w:rsidRDefault="00AE3B9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Đối tượng bảo trợ xã hội có hoàn cảnh đặc biệt khó khăn theo quy định tại  Nghị định số 20/2021/NĐ-CP (khoản 1 Điều 24), cụ thể: - Đối tượng quy định tại các khoản 1 và 3 Điều 5 của Nghị định số 20/2021/NĐ-CP thuộc diện khó </w:t>
      </w:r>
      <w:r>
        <w:rPr>
          <w:rFonts w:ascii="Times New Roman" w:eastAsia="Times New Roman" w:hAnsi="Times New Roman" w:cs="Times New Roman"/>
          <w:sz w:val="26"/>
        </w:rPr>
        <w:lastRenderedPageBreak/>
        <w:t>khăn không tự lo được cuộc sống và không có người nhận chăm sóc, nuôi dưỡng tại cộng đồng; - Người cao tuổi thuộc diện được chăm sóc, nuôi dưỡng trong cơ sở trợ giúp xã hội theo quy định của pháp luật về người cao tuổi; - Trẻ em khuyết tật, người khuyết tật thuộc diện được chăm sóc, nuôi</w:t>
      </w:r>
      <w:r>
        <w:rPr>
          <w:rFonts w:ascii="Times New Roman" w:eastAsia="Times New Roman" w:hAnsi="Times New Roman" w:cs="Times New Roman"/>
          <w:sz w:val="26"/>
        </w:rPr>
        <w:t xml:space="preserve"> dưỡng trong cơ sở trợ giúp xã hội theo quy định của pháp luật về người khuyết tật.</w:t>
      </w:r>
    </w:p>
    <w:p w:rsidR="004D0C5B" w:rsidRDefault="00AE3B9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D0C5B" w:rsidRDefault="00AE3B9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https://thutuc.dichvucong.gov.vn/p/home/dvc-tthc-thu-tuc-hanh-chinh-chi-tiet.html?ma_thu_tuc=961</w:t>
      </w:r>
    </w:p>
    <w:sectPr w:rsidR="004D0C5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0C5B"/>
    <w:rsid w:val="004D0C5B"/>
    <w:rsid w:val="00A41CAE"/>
    <w:rsid w:val="00AE3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6E41CE-F5D3-4BC6-A9E6-698A2E76F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2025-11-27T16:24:00Z</dcterms:created>
  <dcterms:modified xsi:type="dcterms:W3CDTF">2025-11-27T16:24:00Z</dcterms:modified>
</cp:coreProperties>
</file>