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2.000290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2351/QĐ-NHNN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chứng nhận đủ điều kiện hoạt động cung ứng dịch vụ thông tin tín dụng của Công ty thông tin tín dụng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thông tin tín dụng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Công ty thông tin tín dụng lập và nộp hồ sơ đến Ngân hàng Nhà nước;</w:t>
      </w:r>
    </w:p>
    <w:p>
      <w:pPr>
        <w:spacing w:after="0" w:before="0" w:lineRule="auto" w:line="276"/>
        <w:jc w:val="both"/>
      </w:pPr>
      <w:r>
        <w:rPr>
          <w:rFonts w:ascii="Times New Roman" w:hAnsi="Times New Roman" w:cs="Times New Roman" w:eastAsia="Times New Roman"/>
          <w:b w:val="false"/>
          <w:sz w:val="26"/>
        </w:rPr>
        <w:t>- Bước 2: Trong thời hạn 05 ngày làm việc, kể từ ngày nhận được hồ sơ đề nghị của công ty thông tin tín dụng, Ngân hàng Nhà nước có văn bản gửi công ty thông tin tín dụng yêu cầu bổ sung hồ sơ trong trường hợp hồ sơ đề nghị không đầy đủ, hợp lệ theo quy định.</w:t>
      </w:r>
    </w:p>
    <w:p>
      <w:pPr>
        <w:spacing w:after="0" w:before="0" w:lineRule="auto" w:line="276"/>
        <w:jc w:val="both"/>
      </w:pPr>
      <w:r>
        <w:rPr>
          <w:rFonts w:ascii="Times New Roman" w:hAnsi="Times New Roman" w:cs="Times New Roman" w:eastAsia="Times New Roman"/>
          <w:b w:val="false"/>
          <w:sz w:val="26"/>
        </w:rPr>
        <w:t>- Bước 3:Trong thời hạn 30 ngày làm việc, kể từ ngày nhận đầy đủ hồ sơ hợp lệ, Ngân hàng Nhà nước cấp Giấy chứng nhận cho công ty thông tin tín dụng. Trường hợp không cấp Giấy chứng nhận, Ngân hàng Nhà nước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Giấy chứng nhận theo Phụ lục V;</w:t>
            </w:r>
          </w:p>
        </w:tc>
        <w:tc>
          <w:p/>
          <w:p>
            <w:pPr>
              <w:spacing w:after="0" w:before="0" w:lineRule="auto" w:line="276"/>
              <w:jc w:val="left"/>
            </w:pPr>
            <w:r>
              <w:rPr>
                <w:rFonts w:ascii="Times New Roman" w:hAnsi="Times New Roman" w:cs="Times New Roman" w:eastAsia="Times New Roman"/>
                <w:b w:val="false"/>
                <w:sz w:val="26"/>
              </w:rPr>
              <w:t>Phụ lục V.docx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Điều lệ của doanh nghiệp (bản sao);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Hợp đồng với doanh nghiệp cung cấp dịch vụ mạng (bản sao);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Tài liệu về mức vốn điều lệ (bản sao) gồm: Văn bản chứng minh tương ứng với hình thức góp vốn: Xác nhận của ngân hàng thương mại, chi nhánh ngân hàng nước ngoài về số dư tài khoản đối với tiền mặt; kết quả thẩm định giá của tổ chức thẩm định giá chuyên nghiệp đối với các tài sản góp vốn khác phù hợp với quy định của Luật Giá, Luật Doanh nghiệp và pháp luật có liên quan; hoặc báo cáo tài chính được kiểm toán tại thời điểm gần nhất so với thời điểm gửi hồ sơ;</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kê danh sách và lý lịch của từng cá nhân là người quản lý doanh nghiệp, thành viên Ban kiểm soát theo Phụ lục VI;</w:t>
            </w:r>
          </w:p>
        </w:tc>
        <w:tc>
          <w:p/>
          <w:p>
            <w:pPr>
              <w:spacing w:after="0" w:before="0" w:lineRule="auto" w:line="276"/>
              <w:jc w:val="left"/>
            </w:pPr>
            <w:r>
              <w:rPr>
                <w:rFonts w:ascii="Times New Roman" w:hAnsi="Times New Roman" w:cs="Times New Roman" w:eastAsia="Times New Roman"/>
                <w:b w:val="false"/>
                <w:sz w:val="26"/>
              </w:rPr>
              <w:t>Phụ lục VI.docx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Phiếu lý lịch tư pháp (bản sao) của từng cá nhân là người quản lý doanh nghiệp, thành viên Ban kiểm soát: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Đối với cá nhân có quốc tịch Việt Nam: Phiếu lý lịch tư pháp do cơ quan quản lý cơ sở dữ liệu lý lịch tư pháp cấp, trong đó phải có đầy đủ thông tin về tình trạng án tích (bao gồm án tích đã được xóa và án tích chưa được xóa) và thông tin về việc cấm đảm nhiệm chức vụ, thành lập, quản lý doanh nghiệp, hợp tác xã;</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Đối với cá nhân không có quốc tịch Việt Nam: Phiếu lý lịch tư pháp hoặc văn bản có giá trị tương đương (có đầy đủ thông tin về tình trạng án tích; thông tin về việc cấm đảm nhiệm chức vụ, thành lập, quản lý doanh nghiệp, hợp tác xã) phải được cơ quan có thẩm quyền của Việt Nam hoặc cơ quan có thẩm quyền của nước ngoài cấp theo quy định. Trường hợp phiếu lý lịch tư pháp hoặc văn bản có giá trị tương đương do cơ quan có thẩm quyền nước ngoài cấp không có thông tin về việc cấm đảm nhiệm chức vụ, thành lập, quản lý doanh nghiệp, hợp tác xã thì công ty thông tin tín dụng phải có văn bản giải trình về việc không có cơ quan có thẩm quyền của nước cấp lý lịch tư pháp hoặc văn bản có giá trị tương đương cung cấp thông tin này và cam kết chịu trách nhiệm trước pháp luật về việc cá nhân đó không thuộc các trường hợp không được đảm nhiệm chức vụ theo quy định pháp luật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Phiếu lý lịch tư pháp hoặc văn bản có giá trị tương đương phải được cơ quan có thẩm quyền cấp trong vòng 06 tháng tính đến thời điểm công ty thông tin tín dụng nộp hồ sơ đề nghị cấp giấy chứng nhận;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Phương án kinh doanh theo Phụ lục VII;</w:t>
            </w:r>
          </w:p>
        </w:tc>
        <w:tc>
          <w:p/>
          <w:p>
            <w:pPr>
              <w:spacing w:after="0" w:before="0" w:lineRule="auto" w:line="276"/>
              <w:jc w:val="left"/>
            </w:pPr>
            <w:r>
              <w:rPr>
                <w:rFonts w:ascii="Times New Roman" w:hAnsi="Times New Roman" w:cs="Times New Roman" w:eastAsia="Times New Roman"/>
                <w:b w:val="false"/>
                <w:sz w:val="26"/>
              </w:rPr>
              <w:t>Phụ lục VII.docx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cam kết cung cấp thông tin tín dụng của các tổ chức tham gia theo Phụ lục VIII;</w:t>
            </w:r>
          </w:p>
        </w:tc>
        <w:tc>
          <w:p/>
          <w:p>
            <w:pPr>
              <w:spacing w:after="0" w:before="0" w:lineRule="auto" w:line="276"/>
              <w:jc w:val="left"/>
            </w:pPr>
            <w:r>
              <w:rPr>
                <w:rFonts w:ascii="Times New Roman" w:hAnsi="Times New Roman" w:cs="Times New Roman" w:eastAsia="Times New Roman"/>
                <w:b w:val="false"/>
                <w:sz w:val="26"/>
              </w:rPr>
              <w:t>Phụ lục VIII.docx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thỏa thuận về cung cấp thông tin, sản phẩm thông tin tín dụng giữa công ty thông tin tín dụng với tổ chức tham gia (bản sao).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hoạt động cung ứng dịch vụ thông tin tín dụng của Công ty thông tin tín dụng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58/2021/NĐ-CP</w:t>
            </w:r>
          </w:p>
        </w:tc>
        <w:tc>
          <w:p/>
          <w:p>
            <w:pPr>
              <w:spacing w:after="0" w:before="0" w:lineRule="auto" w:line="276"/>
              <w:jc w:val="left"/>
            </w:pPr>
            <w:r>
              <w:rPr>
                <w:rFonts w:ascii="Times New Roman" w:hAnsi="Times New Roman" w:cs="Times New Roman" w:eastAsia="Times New Roman"/>
                <w:b w:val="false"/>
                <w:sz w:val="26"/>
              </w:rPr>
              <w:t>Nghị định 58/2021/NĐ-CP</w:t>
            </w:r>
          </w:p>
        </w:tc>
        <w:tc>
          <w:p/>
          <w:p>
            <w:pPr>
              <w:spacing w:after="0" w:before="0" w:lineRule="auto" w:line="276"/>
              <w:jc w:val="left"/>
            </w:pPr>
            <w:r>
              <w:rPr>
                <w:rFonts w:ascii="Times New Roman" w:hAnsi="Times New Roman" w:cs="Times New Roman" w:eastAsia="Times New Roman"/>
                <w:b w:val="false"/>
                <w:sz w:val="26"/>
              </w:rPr>
              <w:t>10-06-2021</w:t>
            </w:r>
          </w:p>
        </w:tc>
        <w:tc>
          <w:p/>
        </w:tc>
      </w:tr>
      <w:tr>
        <w:tc>
          <w:p/>
          <w:p>
            <w:pPr>
              <w:spacing w:after="0" w:before="0" w:lineRule="auto" w:line="276"/>
              <w:jc w:val="left"/>
            </w:pPr>
            <w:r>
              <w:rPr>
                <w:rFonts w:ascii="Times New Roman" w:hAnsi="Times New Roman" w:cs="Times New Roman" w:eastAsia="Times New Roman"/>
                <w:b w:val="false"/>
                <w:sz w:val="26"/>
              </w:rPr>
              <w:t>133/2024/NĐ-CP</w:t>
            </w:r>
          </w:p>
        </w:tc>
        <w:tc>
          <w:p/>
          <w:p>
            <w:pPr>
              <w:spacing w:after="0" w:before="0" w:lineRule="auto" w:line="276"/>
              <w:jc w:val="left"/>
            </w:pPr>
            <w:r>
              <w:rPr>
                <w:rFonts w:ascii="Times New Roman" w:hAnsi="Times New Roman" w:cs="Times New Roman" w:eastAsia="Times New Roman"/>
                <w:b w:val="false"/>
                <w:sz w:val="26"/>
              </w:rPr>
              <w:t>Nghị định số 133/2024/NĐ-CP ngày 21 tháng 10 năm 2024 của Chính phủ sửa đổi, bổ sung một số điều, phụ lục của Nghị định số 58/2021/NĐ-CP ngày 10 tháng 6 năm 2021 của Chính phủ quy định về hoạt động cung ứng dịch vụ thông tin tín dụng</w:t>
            </w:r>
          </w:p>
        </w:tc>
        <w:tc>
          <w:p/>
          <w:p>
            <w:pPr>
              <w:spacing w:after="0" w:before="0" w:lineRule="auto" w:line="276"/>
              <w:jc w:val="left"/>
            </w:pPr>
            <w:r>
              <w:rPr>
                <w:rFonts w:ascii="Times New Roman" w:hAnsi="Times New Roman" w:cs="Times New Roman" w:eastAsia="Times New Roman"/>
                <w:b w:val="false"/>
                <w:sz w:val="26"/>
              </w:rPr>
              <w:t>21-10-2024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Có hệ thống cơ sở hạ tầng thông tin đáp ứng yêu cầu tối thiểu sau đây:
+ Có tối thiểu 02 đường truyền số liệu, mỗi đường truyền của 01 nhà cung cấp dịch vụ;
+ Có cơ sở hạ tầng thông tin có khả năng tích hợp, kết nối được với hệ thống thông tin của tổ chức tham gia;
+ Có hệ thống máy chủ đặt tại Việt Nam, hệ thống phần mềm tin học và các giải pháp kỹ thuật có khả năng thực hiện hoạt động cung ứng dịch vụ thông tin tín dụng đối với tối thiểu 5.000.000 khách hàng vay;
+ Có phương án bảo mật, bảo đảm an toàn thông tin;
+ Có phương án dự phòng thảm họa, đảm bảo không bị gián đoạn các hoạt động cung ứng dịch vụ thông tin tín dụng quá 04 giờ làm việc.
- Có vốn điều lệ tối thiểu 30 tỷ đồng.
- Có người quản lý doanh nghiệp, thành viên Ban kiểm soát đáp ứng yêu cầu sau đây:
+ Người quản lý doanh nghiệp, thành viên Ban kiểm soát không phải là người đã bị kết án về tội từ tội phạm nghiêm trọng trở lên, người đã bị kết án về tội xâm phạm sở hữu mà chưa được xóa án tích; người quản lý doanh nghiệp, thành viên Ban kiểm soát của công ty thông tin tín dụng bị thu hồi Giấy chứng nhận (trừ trường hợp bị thu hồi Giấy chứng nhận theo quy định tại điểm d, điểm đ, điểm e khoản 1 Điều 14 Nghị định này);
+ Chủ tịch Hội đồng quản trị, Chủ tịch Hội đồng thành viên, Chủ tịch công ty có bằng đại học hoặc Trên đại học và có ít nhất 03 năm làm việc trong lĩnh vực tài chính, ngân hàng, kế toán, kiểm toán, công nghệ thông tin;
+ Thành viên Hội đồng quản trị, thành viên Hội đồng thành viên, thành viên hợp danh có bằng đại học hoặc trên đại học, trong đó ít nhất 50% số thành viên có ít nhất 03 năm làm việc trong lĩnh vực tài chính, ngân hàng, kế toán, kiểm toán, công nghệ thông tin;
+ Tổng giám đốc (Giám đốc), Phó Tổng giám đốc (Phó giám đốc) có bằng đại học hoặc trên đại học và có ít nhất 02 năm giữ chức vụ quản lý, điều hành doanh nghiệp hoạt động trong lĩnh vực tài chính, ngân hàng, kế toán, kiểm toán, công nghệ thông tin;
+ Thành viên Ban kiểm soát có bằng đại học hoặc trên đại học và có ít nhất 02 năm làm việc trong lĩnh vực tài chính, ngân hàng, kế toán, kiểm toán, công nghệ thông tin.
- Có phương án kinh doanh đảm bảo không kinh doanh ngành nghề khác ngoài hoạt động cung ứng dịch vụ thông tin tín dụng.
- Có tối thiểu 15 tổ chức tham gia là tổ chức tín dụng, chi nhánh ngân hàng nước ngoài (trừ ngân hàng chính sách, ngân hàng hợp tác xã, quỹ tín dụng nhân dân và tổ chức tài chính vi mô). Các tổ chức tham gia không có cam kết cung cấp thông tin tín dụng với công ty thông tin tín dụng khác.
- Có văn bản thỏa thuận về cung cấp thông tin, sản phẩm thông tin tín dụng giữa công ty thông tin tín dụng với tổ chức tham gia, trong đó có tối thiểu các nội dung sau:
+ Nội dung, phạm vi thông tin tín dụng được cung cấp;
+ Thời gian, địa điểm, phương thức cung cấp, truyền đưa thông tin, dữ liệu, sản phẩm thông tin tín dụng;
+ Nguyên tắc, phạm vi, mục đích sử dụng sản phẩm thông tin tín dụng;
+ Nghĩa vụ thông báo, thỏa thuận với khách hàng vay về việc sử dụng thông tin tín dụng của khách hàng vay;
+ Trách nhiệm của các bên trong việc điều chỉnh, sửa chữa sai sót trong quá trình cập nhật, truyền đưa, xử lý, lưu giữ, khai thác và sử dụng thông tin tín dụng;
+ Trách nhiệm của các bên trong việc rà soát, đối chiếu, kiểm tra chất lượng và lưu giữ thông tin tín dụng;
+ Trách nhiệm và sự phối hợp của các bên khi giải quyết điều chỉnh sai sót về thông tin tín dụng của khách hàng vay;
+ Xử lý vi phạm, giải quyết tranh chấp;
+ Hiệu lực của văn bản thỏa thuận và đơn phương chấm dứt việc thực hiện thỏa thuận;
+ Các quyền, nghĩa vụ khác của các bên trong quá trình thu thập, xử lý, lưu giữ và cung cấp thông tin tín dụng.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https://thutuc.dichvucong.gov.vn/p/home/dvc-tthc-thu-tuc-hanh-chinh-chi-tiet.html?ma_thu_tuc=969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2025-11-27T16:24:07Z</dcterms:created>
  <dc:creator>Apache POI</dc:creator>
</cp:coreProperties>
</file>