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2.000308</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1781/QĐ-BCT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Cấp Giấy chứng nhận đủ điều kiện hoạt động kiểm định kỹ thuật an toàn lao động thuộc thẩm quyền cấp của Bộ Công Thương</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An toàn vệ sinh lao động</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 Tổ chức kiểm định nộp hồ sơ đề nghị cấp Giấy chứng nhận đủ điều kiện hoạt động kiểm định kỹ thuật an toàn lao động, phí thẩm định theo quy định của Bộ Tài chính tại Cục Kỹ thuật an toàn và Môi trường công nghiệp. 
- Cục Kỹ thuật an toàn và Môi trường công nghiệp kiểm tra tính hợp lệ, đầy đủ của hồ sơ. Trường hợp hồ sơ không đầy đủ, hợp lệ, Cục thông báo bằng văn bản cho tổ chức kiểm định để hoàn chỉnh hồ sơ.
- Trường hợp hồ sơ đầy đủ, hợp lệ, Cục thẩm định nội dung hồ sơ, trường hợp cần thiết, thẩm tra thực tế. Nếu hồ sơ đáp ứng đủ điều kiện, trong thời hạn 30 ngày làm việc, Cục xem xét, thẩm định và cấp Giấy chứng nhận đủ điều kiện. 
- Nếu hồ sơ không đáp ứng đủ điều kiện, Cục trả lời bằng văn bản cho tổ chức kiểm định, nêu rõ lý do không cấp Giấy chứng nhận đủ điều kiện.</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30 Ngày</w:t>
            </w:r>
          </w:p>
        </w:tc>
        <w:tc>
          <w:p/>
          <w:p>
            <w:pPr>
              <w:spacing w:after="0" w:before="0" w:lineRule="auto" w:line="276"/>
              <w:jc w:val="left"/>
            </w:pPr>
            <w:r>
              <w:rPr>
                <w:rFonts w:ascii="Times New Roman" w:hAnsi="Times New Roman" w:cs="Times New Roman" w:eastAsia="Times New Roman"/>
                <w:b w:val="false"/>
                <w:sz w:val="26"/>
              </w:rPr>
              <w:t>Phí :  Đồng</w:t>
              <w:t xml:space="preserve"> (Theo quy định của Bộ Tài chính)</w:t>
            </w:r>
          </w:p>
        </w:tc>
        <w:tc>
          <w:p/>
          <w:p>
            <w:pPr>
              <w:spacing w:after="0" w:before="0" w:lineRule="auto" w:line="276"/>
              <w:jc w:val="left"/>
            </w:pPr>
            <w:r>
              <w:rPr>
                <w:rFonts w:ascii="Times New Roman" w:hAnsi="Times New Roman" w:cs="Times New Roman" w:eastAsia="Times New Roman"/>
                <w:b w:val="false"/>
                <w:sz w:val="26"/>
              </w:rPr>
              <w:t>30 ngày làm việc kể từ ngày nhận đủ hồ sơ hợp lệ.</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30 Ngày</w:t>
            </w:r>
          </w:p>
        </w:tc>
        <w:tc>
          <w:p/>
          <w:p>
            <w:pPr>
              <w:spacing w:after="0" w:before="0" w:lineRule="auto" w:line="276"/>
              <w:jc w:val="left"/>
            </w:pPr>
            <w:r>
              <w:rPr>
                <w:rFonts w:ascii="Times New Roman" w:hAnsi="Times New Roman" w:cs="Times New Roman" w:eastAsia="Times New Roman"/>
                <w:b w:val="false"/>
                <w:sz w:val="26"/>
              </w:rPr>
              <w:t>Phí :  Đồng</w:t>
              <w:t xml:space="preserve"> (Theo quy định của Bộ Tài chính)</w:t>
            </w:r>
          </w:p>
        </w:tc>
        <w:tc>
          <w:p/>
          <w:p>
            <w:pPr>
              <w:spacing w:after="0" w:before="0" w:lineRule="auto" w:line="276"/>
              <w:jc w:val="left"/>
            </w:pPr>
            <w:r>
              <w:rPr>
                <w:rFonts w:ascii="Times New Roman" w:hAnsi="Times New Roman" w:cs="Times New Roman" w:eastAsia="Times New Roman"/>
                <w:b w:val="false"/>
                <w:sz w:val="26"/>
              </w:rPr>
              <w:t>30 ngày làm việc kể từ ngày nhận đủ hồ sơ hợp lệ.</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30 Ngày</w:t>
            </w:r>
          </w:p>
        </w:tc>
        <w:tc>
          <w:p/>
          <w:p>
            <w:pPr>
              <w:spacing w:after="0" w:before="0" w:lineRule="auto" w:line="276"/>
              <w:jc w:val="left"/>
            </w:pPr>
            <w:r>
              <w:rPr>
                <w:rFonts w:ascii="Times New Roman" w:hAnsi="Times New Roman" w:cs="Times New Roman" w:eastAsia="Times New Roman"/>
                <w:b w:val="false"/>
                <w:sz w:val="26"/>
              </w:rPr>
              <w:t>Phí :  Đồng</w:t>
              <w:t xml:space="preserve"> (Theo quy định của Bộ Tài chính)</w:t>
            </w:r>
          </w:p>
        </w:tc>
        <w:tc>
          <w:p/>
          <w:p>
            <w:pPr>
              <w:spacing w:after="0" w:before="0" w:lineRule="auto" w:line="276"/>
              <w:jc w:val="left"/>
            </w:pPr>
            <w:r>
              <w:rPr>
                <w:rFonts w:ascii="Times New Roman" w:hAnsi="Times New Roman" w:cs="Times New Roman" w:eastAsia="Times New Roman"/>
                <w:b w:val="false"/>
                <w:sz w:val="26"/>
              </w:rPr>
              <w:t>30 ngày làm việc kể từ ngày nhận đủ hồ sơ hợp lệ.</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Đơn đề nghị cấp Giấy chứng nhận; theo mẫu phụ lục Ia Nghị định số 44/2016/NĐ-CP</w:t>
            </w:r>
          </w:p>
        </w:tc>
        <w:tc>
          <w:p/>
          <w:p>
            <w:pPr>
              <w:spacing w:after="0" w:before="0" w:lineRule="auto" w:line="276"/>
              <w:jc w:val="left"/>
            </w:pPr>
            <w:r>
              <w:rPr>
                <w:rFonts w:ascii="Times New Roman" w:hAnsi="Times New Roman" w:cs="Times New Roman" w:eastAsia="Times New Roman"/>
                <w:b w:val="false"/>
                <w:sz w:val="26"/>
              </w:rPr>
              <w:t>Phụ lục la.doc</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Quyết định thành lập đối với đơn vị sự nghiệp</w:t>
            </w:r>
          </w:p>
        </w:tc>
        <w:tc>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r>
        <w:tc>
          <w:p/>
          <w:p>
            <w:pPr>
              <w:spacing w:after="0" w:before="0" w:lineRule="auto" w:line="276"/>
              <w:jc w:val="left"/>
            </w:pPr>
            <w:r>
              <w:rPr>
                <w:rFonts w:ascii="Times New Roman" w:hAnsi="Times New Roman" w:cs="Times New Roman" w:eastAsia="Times New Roman"/>
                <w:b w:val="false"/>
                <w:sz w:val="26"/>
              </w:rPr>
              <w:t>Danh mục thiết bị, dụng cụ phục vụ kiểm định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Danh sách kiểm định viên (theo Mẫu 06 Phụ lục Ia Nghị định số 140/2018/NĐ-CP)</w:t>
            </w:r>
          </w:p>
        </w:tc>
        <w:tc>
          <w:p/>
          <w:p>
            <w:pPr>
              <w:spacing w:after="0" w:before="0" w:lineRule="auto" w:line="276"/>
              <w:jc w:val="left"/>
            </w:pPr>
            <w:r>
              <w:rPr>
                <w:rFonts w:ascii="Times New Roman" w:hAnsi="Times New Roman" w:cs="Times New Roman" w:eastAsia="Times New Roman"/>
                <w:b w:val="false"/>
                <w:sz w:val="26"/>
              </w:rPr>
              <w:t>PHỤ LỤC M6.docx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Một trong các tài liệu sau để chứng minh kinh nghiệm của người phụ trách kỹ thuật hoạt động kiểm định:	 	+ Bản sao sổ hoặc tờ rời về tham gia bảo hiểm xã hội;	 	+ Bản sao hợp đồng lao động;	 	+ Bản sao biên bản kiểm định kèm theo giấy chứng nhận kết quả kiểm định.</w:t>
            </w:r>
          </w:p>
        </w:tc>
        <w:tc>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Tổ chức (không bao gồm doanh nghiệp, HTX)</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Cục Kỹ thuật an toàn và Môi trường công nghiệp</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Cục Kỹ thuật an toàn và môi trường công nghiệp</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Giấy chứng nhận đủ điều kiện hoạt động kiểm định kỹ thuật an toàn lao động</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37/2018/TT-BCT</w:t>
            </w:r>
          </w:p>
        </w:tc>
        <w:tc>
          <w:p/>
          <w:p>
            <w:pPr>
              <w:spacing w:after="0" w:before="0" w:lineRule="auto" w:line="276"/>
              <w:jc w:val="left"/>
            </w:pPr>
            <w:r>
              <w:rPr>
                <w:rFonts w:ascii="Times New Roman" w:hAnsi="Times New Roman" w:cs="Times New Roman" w:eastAsia="Times New Roman"/>
                <w:b w:val="false"/>
                <w:sz w:val="26"/>
              </w:rPr>
              <w:t>Thông tư 37/2018/TT-BCT</w:t>
            </w:r>
          </w:p>
        </w:tc>
        <w:tc>
          <w:p/>
          <w:p>
            <w:pPr>
              <w:spacing w:after="0" w:before="0" w:lineRule="auto" w:line="276"/>
              <w:jc w:val="left"/>
            </w:pPr>
            <w:r>
              <w:rPr>
                <w:rFonts w:ascii="Times New Roman" w:hAnsi="Times New Roman" w:cs="Times New Roman" w:eastAsia="Times New Roman"/>
                <w:b w:val="false"/>
                <w:sz w:val="26"/>
              </w:rPr>
              <w:t>25-10-2018</w:t>
            </w:r>
          </w:p>
        </w:tc>
        <w:tc>
          <w:p/>
          <w:p>
            <w:pPr>
              <w:spacing w:after="0" w:before="0" w:lineRule="auto" w:line="276"/>
              <w:jc w:val="left"/>
            </w:pPr>
            <w:r>
              <w:rPr>
                <w:rFonts w:ascii="Times New Roman" w:hAnsi="Times New Roman" w:cs="Times New Roman" w:eastAsia="Times New Roman"/>
                <w:b w:val="false"/>
                <w:sz w:val="26"/>
              </w:rPr>
              <w:t>Bộ Công thương</w:t>
            </w:r>
          </w:p>
        </w:tc>
      </w:tr>
      <w:tr>
        <w:tc>
          <w:p/>
          <w:p>
            <w:pPr>
              <w:spacing w:after="0" w:before="0" w:lineRule="auto" w:line="276"/>
              <w:jc w:val="left"/>
            </w:pPr>
            <w:r>
              <w:rPr>
                <w:rFonts w:ascii="Times New Roman" w:hAnsi="Times New Roman" w:cs="Times New Roman" w:eastAsia="Times New Roman"/>
                <w:b w:val="false"/>
                <w:sz w:val="26"/>
              </w:rPr>
              <w:t>140/2018/NĐ-CP</w:t>
            </w:r>
          </w:p>
        </w:tc>
        <w:tc>
          <w:p/>
          <w:p>
            <w:pPr>
              <w:spacing w:after="0" w:before="0" w:lineRule="auto" w:line="276"/>
              <w:jc w:val="left"/>
            </w:pPr>
            <w:r>
              <w:rPr>
                <w:rFonts w:ascii="Times New Roman" w:hAnsi="Times New Roman" w:cs="Times New Roman" w:eastAsia="Times New Roman"/>
                <w:b w:val="false"/>
                <w:sz w:val="26"/>
              </w:rPr>
              <w:t>Nghị định 140/2018/NĐ-CP</w:t>
            </w:r>
          </w:p>
        </w:tc>
        <w:tc>
          <w:p/>
          <w:p>
            <w:pPr>
              <w:spacing w:after="0" w:before="0" w:lineRule="auto" w:line="276"/>
              <w:jc w:val="left"/>
            </w:pPr>
            <w:r>
              <w:rPr>
                <w:rFonts w:ascii="Times New Roman" w:hAnsi="Times New Roman" w:cs="Times New Roman" w:eastAsia="Times New Roman"/>
                <w:b w:val="false"/>
                <w:sz w:val="26"/>
              </w:rPr>
              <w:t>08-10-2018</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44/2016/NĐ-CP</w:t>
            </w:r>
          </w:p>
        </w:tc>
        <w:tc>
          <w:p/>
          <w:p>
            <w:pPr>
              <w:spacing w:after="0" w:before="0" w:lineRule="auto" w:line="276"/>
              <w:jc w:val="left"/>
            </w:pPr>
            <w:r>
              <w:rPr>
                <w:rFonts w:ascii="Times New Roman" w:hAnsi="Times New Roman" w:cs="Times New Roman" w:eastAsia="Times New Roman"/>
                <w:b w:val="false"/>
                <w:sz w:val="26"/>
              </w:rPr>
              <w:t>Nghị định 44/2016/NĐ-CP</w:t>
            </w:r>
          </w:p>
        </w:tc>
        <w:tc>
          <w:p/>
          <w:p>
            <w:pPr>
              <w:spacing w:after="0" w:before="0" w:lineRule="auto" w:line="276"/>
              <w:jc w:val="left"/>
            </w:pPr>
            <w:r>
              <w:rPr>
                <w:rFonts w:ascii="Times New Roman" w:hAnsi="Times New Roman" w:cs="Times New Roman" w:eastAsia="Times New Roman"/>
                <w:b w:val="false"/>
                <w:sz w:val="26"/>
              </w:rPr>
              <w:t>15-05-2016</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38/2025/TT-BCT</w:t>
            </w:r>
          </w:p>
        </w:tc>
        <w:tc>
          <w:p/>
          <w:p>
            <w:pPr>
              <w:spacing w:after="0" w:before="0" w:lineRule="auto" w:line="276"/>
              <w:jc w:val="left"/>
            </w:pPr>
            <w:r>
              <w:rPr>
                <w:rFonts w:ascii="Times New Roman" w:hAnsi="Times New Roman" w:cs="Times New Roman" w:eastAsia="Times New Roman"/>
                <w:b w:val="false"/>
                <w:sz w:val="26"/>
              </w:rPr>
              <w:t>Sửa đổi, bổ sung một số quy định về phân cấp thực hiện thủ tục hành chính trong các lĩnh vực thuộc phạm vi quản lý của Bộ Công Thương</w:t>
            </w:r>
          </w:p>
        </w:tc>
        <w:tc>
          <w:p/>
          <w:p>
            <w:pPr>
              <w:spacing w:after="0" w:before="0" w:lineRule="auto" w:line="276"/>
              <w:jc w:val="left"/>
            </w:pPr>
            <w:r>
              <w:rPr>
                <w:rFonts w:ascii="Times New Roman" w:hAnsi="Times New Roman" w:cs="Times New Roman" w:eastAsia="Times New Roman"/>
                <w:b w:val="false"/>
                <w:sz w:val="26"/>
              </w:rPr>
              <w:t>19-06-2025</w:t>
            </w:r>
          </w:p>
        </w:tc>
        <w:tc>
          <w:p/>
          <w:p>
            <w:pPr>
              <w:spacing w:after="0" w:before="0" w:lineRule="auto" w:line="276"/>
              <w:jc w:val="left"/>
            </w:pPr>
            <w:r>
              <w:rPr>
                <w:rFonts w:ascii="Times New Roman" w:hAnsi="Times New Roman" w:cs="Times New Roman" w:eastAsia="Times New Roman"/>
                <w:b w:val="false"/>
                <w:sz w:val="26"/>
              </w:rPr>
              <w:t>Bộ Công thương</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 Tổ chức được cấp Giấy chứng nhận đủ điều kiện hoạt động kiểm định kỹ thuật an toàn lao động phải đáp ứng đủ các điều kiện sau đây:
+ Bảo đảm thiết bị, dụng cụ phục vụ kiểm định cho từng đối tượng thuộc phạm vi kiểm định, theo yêu cầu của quy trình kiểm định, quy chuẩn kỹ thuật quốc gia về an toàn, vệ sinh lao động.
+ Có ít nhất 02 kiểm định viên làm việc theo hợp đồng từ 12 tháng trở lên thuộc tổ chức để thực hiện kiểm định đối với mỗi đối tượng thuộc phạm vi đề nghị cấp Giấy chứng nhận đủ điều kiện hoạt động kiểm định.
+ Người phụ trách kỹ thuật hoạt động kiểm định của tổ chức phải có thời gian làm kiểm định viên tối thiểu 02 năm.
- Các thiết bị, nhân lực nêu trên chỉ được sử dụng để làm điều kiện đề nghị cấp  Giấy chứng nhận đủ điều kiện hoạt động kiểm định kỹ thuật an toàn lao động đối với một tổ chức.</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Cấp Giấy chứng nhận đủ điều kiện hoạt động kiểm định kỹ thuật an toàn lao động, Cấp Giấy chứng nhận, Giấy chứng nhận, Kiểm định, Hoạt động kiểm định, Bộ Công Thương, Cục Kỹ thuật an toàn và Môi trường công nghiệp</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https://thutuc.dichvucong.gov.vn/p/home/dvc-tthc-thu-tuc-hanh-chinh-chi-tiet.html?ma_thu_tuc=1023</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2025-11-27T16:24:42Z</dcterms:created>
  <dc:creator>Apache POI</dc:creator>
</cp:coreProperties>
</file>