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của Văn phòng đại diện của thương nhân nước ngoài tại Việt Nam thuộc thẩm quyền cấp của Cơ quan cấp Giấy phép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nước ngoài nộp hồ sơ chấm dứt hoạt động Văn phòng đại diện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Cơ quan cấp Giấy phép có trách nhiệm công bố trên trang thông tin điện tử của mình về việc chấm dứt hoạt động của Văn phòng đại diện.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Nộp trực tiếp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điện. 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Thông báo về việc chấm dứt hoạt động Văn phòng đại diện, Chi nhánh theo mẫu của Bộ Công Thương do đại diện có thẩm quyền của thương nhân nước ngoài ký, trừ trường hợp quy định tại Khoản 5 Điều 35 Nghị định 07/2016/NĐ-CP;</w:t>
            </w:r>
          </w:p>
        </w:tc>
        <w:tc>
          <w:p/>
          <w:p>
            <w:pPr>
              <w:spacing w:after="0" w:before="0" w:lineRule="auto" w:line="276"/>
              <w:jc w:val="left"/>
            </w:pPr>
            <w:r>
              <w:rPr>
                <w:rFonts w:ascii="Times New Roman" w:hAnsi="Times New Roman" w:cs="Times New Roman" w:eastAsia="Times New Roman"/>
                <w:b w:val="false"/>
                <w:sz w:val="26"/>
              </w:rPr>
              <w:t>Mẫu TB.docx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văn bản của Cơ quan cấp Giấy phép không gia hạn  Giấy phép thành lập Văn phòng đại diện (đối với trường hợp quy định tại Khoản 4 Điều 35 Nghị định 07/2016/NĐ-CP) hoặc bản sao Quyết định thu hồi  Giấy phép thành lập Văn phòng đại diện của Cơ quan cấp Giấy phép (đối với trường hợp quy định tại Khoản 5 Điều 35 Nghị định 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Danh sách chủ nợ và số nợ chưa thanh toán, gồm cả nợ thuế và nợ tiền đóng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Danh sách người lao động và quyền lợi tương ứng hiện hành của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Bản chính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chấm dứt hoạt động của Văn phòng đại diện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Văn phòng đại diện chấm dứt hoạt động trong các trường hợp sau:
1. Theo đề nghị của thương nhân nước ngoài.
2. Khi thương nhân nước ngoài chấm dứt hoạt động theo pháp luật của quốc gia, vùng lãnh thổ nơi thương nhân đó thành lập hoặc đăng ký kinh doanh.
3. Hết thời hạn hoạt động theo  Giấy phép thành lập Văn phòng đại diện mà thương nhân nước ngoài không đề nghị gia hạn.
4. Hết thời gian hoạt động theo  Giấy phép thành lập Văn phòng đại diện mà không được Cơ quan cấp Giấy phép đồng ý gia hạn.
5. Bị thu hồi  Giấy phép thành lập Văn phòng đại diện theo quy định tại Điều 44 Nghị định 07/2016/NĐ-CP.
6. Thương nhân nước ngoài, Văn phòng đại diện không còn đáp ứng một trong những điều kiện quy định tại Điều 7 và Điều 8 Nghị định 07/2016/NĐ-CP.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2025-11-27T16:25:12Z</dcterms:created>
  <dc:creator>Apache POI</dc:creator>
</cp:coreProperties>
</file>