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1158/QĐ-NHCS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chuyển đổi trạng thái, phong tỏa tài khoản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2. NHCSXH nơi thực hiện thủ tục 
- Tiếp nhận đề nghị; Kiểm tra, đối chiếu các thông tin đã tiếp nhận;
- Xử lý đề nghị chuyển trạng thái tài khoản hoặc 
- Xử lý phong tỏa tài khoản và thông báo bằng văn bản (Mẫu số 13/TGKH) hoặc qua điện thoại cho khách hàng.
</w:t>
      </w:r>
    </w:p>
    <w:p>
      <w:pPr>
        <w:spacing w:after="0" w:before="0" w:lineRule="auto" w:line="276"/>
        <w:jc w:val="both"/>
      </w:pPr>
      <w:r>
        <w:rPr>
          <w:rFonts w:ascii="Times New Roman" w:hAnsi="Times New Roman" w:cs="Times New Roman" w:eastAsia="Times New Roman"/>
          <w:b w:val="false"/>
          <w:sz w:val="26"/>
        </w:rPr>
        <w:t>Bước 1. Khách hàng
- Chuyển trạng thái tài khoản: Lập Giấy đề nghị chuyển trạng thái tài khoản tiền gửi (mẫu số 10/TGKH) gửi NHCSXH nơi thực hiện thủ tục. 
- Phong tỏa tài khoản: Có văn bản đề nghị phong tỏa tài khoản của một trong các chủ tài khoản về việc phát sinh tranh chấp về tài khoản thanh toán chung giữa các chủ tài khoản thanh toán chung.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NHCSXH nơi thực hiện thủ tục.
Ngay trong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chuyển trạng thái tài khoản tiền gửi (mẫu số 10/TGKH): 01 bản chính;</w:t>
            </w:r>
          </w:p>
        </w:tc>
        <w:tc>
          <w:p/>
          <w:p>
            <w:pPr>
              <w:spacing w:after="0" w:before="0" w:lineRule="auto" w:line="276"/>
              <w:jc w:val="left"/>
            </w:pPr>
            <w:r>
              <w:rPr>
                <w:rFonts w:ascii="Times New Roman" w:hAnsi="Times New Roman" w:cs="Times New Roman" w:eastAsia="Times New Roman"/>
                <w:b w:val="false"/>
                <w:sz w:val="26"/>
              </w:rPr>
              <w:t>10-TGKH (1155-NHCS-KTTC ngày 7.4.2017).docx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phong tỏa tài khoản của một trong các chủ tài khoản thanh toán chung: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Tài khoản tiền gửi được thay đổi trạng thái;, Tài khoản tiền gửi được phong tỏa;, Thông báo phong tỏa tài khoản (Mẫu số 13/TGKH) hoặc thông báo qua điện thoại cho khách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22-11-2012</w:t>
            </w:r>
          </w:p>
        </w:tc>
        <w:tc>
          <w:p/>
        </w:tc>
      </w:tr>
      <w:tr>
        <w:tc>
          <w:p/>
          <w:p>
            <w:pPr>
              <w:spacing w:after="0" w:before="0" w:lineRule="auto" w:line="276"/>
              <w:jc w:val="left"/>
            </w:pPr>
            <w:r>
              <w:rPr>
                <w:rFonts w:ascii="Times New Roman" w:hAnsi="Times New Roman" w:cs="Times New Roman" w:eastAsia="Times New Roman"/>
                <w:b w:val="false"/>
                <w:sz w:val="26"/>
              </w:rPr>
              <w:t>1155/NHCS-KTTC</w:t>
            </w:r>
          </w:p>
        </w:tc>
        <w:tc>
          <w:p/>
          <w:p>
            <w:pPr>
              <w:spacing w:after="0" w:before="0" w:lineRule="auto" w:line="276"/>
              <w:jc w:val="left"/>
            </w:pPr>
            <w:r>
              <w:rPr>
                <w:rFonts w:ascii="Times New Roman" w:hAnsi="Times New Roman" w:cs="Times New Roman" w:eastAsia="Times New Roman"/>
                <w:b w:val="false"/>
                <w:sz w:val="26"/>
              </w:rPr>
              <w:t>1155/NHCS-KTTC</w:t>
            </w:r>
          </w:p>
        </w:tc>
        <w:tc>
          <w:p/>
          <w:p>
            <w:pPr>
              <w:spacing w:after="0" w:before="0" w:lineRule="auto" w:line="276"/>
              <w:jc w:val="left"/>
            </w:pPr>
            <w:r>
              <w:rPr>
                <w:rFonts w:ascii="Times New Roman" w:hAnsi="Times New Roman" w:cs="Times New Roman" w:eastAsia="Times New Roman"/>
                <w:b w:val="false"/>
                <w:sz w:val="26"/>
              </w:rPr>
              <w:t>07-04-2017</w:t>
            </w:r>
          </w:p>
        </w:tc>
        <w:tc>
          <w:p/>
        </w:tc>
      </w:tr>
      <w:tr>
        <w:tc>
          <w:p/>
          <w:p>
            <w:pPr>
              <w:spacing w:after="0" w:before="0" w:lineRule="auto" w:line="276"/>
              <w:jc w:val="left"/>
            </w:pPr>
            <w:r>
              <w:rPr>
                <w:rFonts w:ascii="Times New Roman" w:hAnsi="Times New Roman" w:cs="Times New Roman" w:eastAsia="Times New Roman"/>
                <w:b w:val="false"/>
                <w:sz w:val="26"/>
              </w:rPr>
              <w:t>32/2016/TT-NHNN</w:t>
            </w:r>
          </w:p>
        </w:tc>
        <w:tc>
          <w:p/>
          <w:p>
            <w:pPr>
              <w:spacing w:after="0" w:before="0" w:lineRule="auto" w:line="276"/>
              <w:jc w:val="left"/>
            </w:pPr>
            <w:r>
              <w:rPr>
                <w:rFonts w:ascii="Times New Roman" w:hAnsi="Times New Roman" w:cs="Times New Roman" w:eastAsia="Times New Roman"/>
                <w:b w:val="false"/>
                <w:sz w:val="26"/>
              </w:rPr>
              <w:t>Thông tư 32/2016/TT-NHNN</w:t>
            </w:r>
          </w:p>
        </w:tc>
        <w:tc>
          <w:p/>
          <w:p>
            <w:pPr>
              <w:spacing w:after="0" w:before="0" w:lineRule="auto" w:line="276"/>
              <w:jc w:val="left"/>
            </w:pPr>
            <w:r>
              <w:rPr>
                <w:rFonts w:ascii="Times New Roman" w:hAnsi="Times New Roman" w:cs="Times New Roman" w:eastAsia="Times New Roman"/>
                <w:b w:val="false"/>
                <w:sz w:val="26"/>
              </w:rPr>
              <w:t>26-12-2016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23/2014/TT-NHNN</w:t>
            </w:r>
          </w:p>
        </w:tc>
        <w:tc>
          <w:p/>
          <w:p>
            <w:pPr>
              <w:spacing w:after="0" w:before="0" w:lineRule="auto" w:line="276"/>
              <w:jc w:val="left"/>
            </w:pPr>
            <w:r>
              <w:rPr>
                <w:rFonts w:ascii="Times New Roman" w:hAnsi="Times New Roman" w:cs="Times New Roman" w:eastAsia="Times New Roman"/>
                <w:b w:val="false"/>
                <w:sz w:val="26"/>
              </w:rPr>
              <w:t>Thông tư 23/2014/TT-NHNN</w:t>
            </w:r>
          </w:p>
        </w:tc>
        <w:tc>
          <w:p/>
          <w:p>
            <w:pPr>
              <w:spacing w:after="0" w:before="0" w:lineRule="auto" w:line="276"/>
              <w:jc w:val="left"/>
            </w:pPr>
            <w:r>
              <w:rPr>
                <w:rFonts w:ascii="Times New Roman" w:hAnsi="Times New Roman" w:cs="Times New Roman" w:eastAsia="Times New Roman"/>
                <w:b w:val="false"/>
                <w:sz w:val="26"/>
              </w:rPr>
              <w:t>19-08-2014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Chuyển trạng thái tài khoản: khách hàng phải có Giấy đề nghị chuyển trạng thái tài khoản tiền gửi (mẫu số 10/TGKH);
- Phong tỏa tài khoản: Có thông báo bằng văn bản của một trong các chủ tài khoản về việc phát sinh tranh chấp về tài khoản thanh toán chung giữa các chủ tài khoản thanh toán chung.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2025-11-27T16:25:14Z</dcterms:created>
  <dc:creator>Apache POI</dc:creator>
</cp:coreProperties>
</file>