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tăng diện tích cơ sở bán lẻ thứ nhất không nằm trong trung tâm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Hồ sơ 02 bộ, gửi trực tiếp hoặc qua đường bưu chính hoặc qua mạng điện tử (nếu đủ điều kiện áp dụng) đến Cơ quan cấp Giấy phép.
b) Trong thời hạn 03 ngày làm việc kể từ ngày nhận được hồ sơ, Cơ quan cấp Giấy phép kiểm tra và yêu cầu sửa đổi, bổ sung nếu hồ sơ chưa đủ và hợp lệ.
c) Trong thời hạn 10 ngày làm việc kể từ ngày nhận được hồ sơ đủ và hợp lệ, Cơ quan cấp Giấy phép kiểm tra việc đáp ứng điều kiện quy định tại khoản 1 Điều 22 Nghị định:
- Trường hợp không đáp ứng điều kiện, Cơ quan cấp Giấy phép có văn bản trả lời và nêu rõ lý do;
- Trường hợp đáp ứng điều kiện, Cơ quan cấp Giấy phép gửi hồ sơ kèm văn bản lấy ý kiến Ủy ban nhân dân cấp tỉnh theo quy định tại điểm c khoản 3 Điều 8 Nghị định này (Mẫu số 09 Phụ lục ban hành kèm theo Nghị định số 09/2018/NĐ-CP).
e) Trong thời hạn 07 ngày làm việc kể từ ngày nhận được hồ sơ, Ủy ban nhân dân cấp tỉnh căn cứ vào nội dung tương ứng quy định tại Điều 25 Nghị định số 09/2018/NĐ-CP để có văn bản chấp thuận cấp Giấy phép lập cơ sở bán lẻ; trường hợp từ chối phải có văn bản trả lời và nêu rõ lý do (Mẫu số 10 Phụ lục ban hành kèm theo Nghị định số 09/2018/NĐ-CP)
g) Trong thời hạn 03 ngày làm việc kể từ ngày nhận được văn bản chấp thuận của Ủy ban nhân dân cấp tỉnh, Cơ quan cấp Giấy phép cấp Giấy phép lập cơ sở bán lẻ. Trường hợp Ủy ban nhân dân cấp tỉnh từ chối, Cơ quan cấp Giấy phép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cơ quan cấp phép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điều chỉnh Giấy phép lập cơ sở bán lẻ (Mẫu số 05 Phụ lục ban hành kèm theo Nghị định).</w:t>
            </w:r>
          </w:p>
        </w:tc>
        <w:tc>
          <w:p/>
          <w:p>
            <w:pPr>
              <w:spacing w:after="0" w:before="0" w:lineRule="auto" w:line="276"/>
              <w:jc w:val="left"/>
            </w:pPr>
            <w:r>
              <w:rPr>
                <w:rFonts w:ascii="Times New Roman" w:hAnsi="Times New Roman" w:cs="Times New Roman" w:eastAsia="Times New Roman"/>
                <w:b w:val="false"/>
                <w:sz w:val="26"/>
              </w:rPr>
              <w:t>05MĐ-Đơn điều chỉnh GPBL.doc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giải trình có nội dung:</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giải trình có nội dung</w:t>
            </w:r>
          </w:p>
        </w:tc>
        <w:tc>
          <w:p/>
          <w:p>
            <w:pPr>
              <w:spacing w:after="0" w:before="0" w:lineRule="auto" w:line="276"/>
              <w:jc w:val="left"/>
            </w:pPr>
            <w:r>
              <w:rPr>
                <w:rFonts w:ascii="Times New Roman" w:hAnsi="Times New Roman" w:cs="Times New Roman" w:eastAsia="Times New Roman"/>
                <w:b w:val="false"/>
                <w:sz w:val="26"/>
              </w:rPr>
              <w:t>10CV- Bộ trả lời Sở.doc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hoạt động kinh doanh của cơ sở bán lẻ trong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giải trình việc đáp ứng điều kiện quy định tại điểm c khoản 1 Điều 22 Nghị định số 09/2018/NĐ-CP.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 Tổ chức kinh tế có vốn đầu tư nước ngoài có nhu cầu điều chỉnh tăng diện tích cơ sở bán lẻ thứ nhất không nằm trong trung tâm thương mại
+) Địa điểm lập cơ sở bán lẻ phù hợp với quy hoạch có liên quan tại khu vực thị trường địa lý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2025-11-27T16:25:24Z</dcterms:created>
  <dc:creator>Apache POI</dc:creator>
</cp:coreProperties>
</file>