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2.000332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8258/QĐ-BCA-QLXNC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xuất nhập cảnh cho người không quốc tịch cư trú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xuất nhập cảnh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Chuẩn bị hồ sơ theo quy định của pháp luật (được nêu cụ thể tại mục 2.3. Thành phần, số lượng hồ sơ). 
Bước 2: Nộp hồ sơ vào giờ hành chính các ngày làm việc trong tuần tại một trong hai trụ sở của Cục Quản lý xuất nhập cảnh - Bộ Công an:
+ Số 44-46 đường Trần Phú, phường Ba Đình, thành phố Hà Nội.
+ Số 333-335-337 đường Nguyễn Trãi, phường Cầu Ông Lãnh, Thành phố Hồ Chí Minh.
Hoặc nộp hồ sơ trực tuyến qua Cổng dịch vụ công quốc gia hoặc Cổng dịch vụ công Bộ Công an và gửi bổ sung hồ sơ qua dịch vụ bưu chính công ích theo thông báo của Cục Quản lý xuất nhập cảnh trên Cổng dịch vụ công quốc gia hoặc Cổng dịch vụ công Bộ Công an (nếu có).
* Cán bộ tiếp nhận hồ sơ kiểm tra tính pháp lý và nội dung hồ sơ: 
+ Nếu hồ sơ đầy đủ, hợp lệ thì tiếp nhận hồ sơ, in và cấp giấy hẹn trả kết quả cho người đề nghị cấp giấy phép xuất nhập cảnh; yêu cầu nộp phí cho cán bộ thu phí, cán bộ thu phí thu tiền, giao biên lai thu tiền cho người đề nghị cấp giấy phép xuất nhập cảnh hoặc thông báo trên Cổng dịch vụ công quốc gia hoặc Cổng dịch vụ công Bộ Công an để người đề nghị cấp giấy phép xuất nhập cảnh thanh toán trực tuyến và nhận biên lai điện tử.
+ Nếu hồ sơ thiếu hoặc không hợp lệ thì cán bộ tiếp nhận hồ sơ hướng dẫn hoặc thông báo trên Cổng dịch vụ công quốc gia hoặc Cổng dịch vụ công Bộ Công an để người nộp hồ sơ hoàn chỉnh.
+ Trường hợp hồ sơ không đủ điều kiện thì không tiếp nhận hồ sơ, trả lời bằng văn bản hoặc thông báo trên Cổng dịch vụ công quốc gia hoặc Cổng dịch vụ công Bộ Công an và nêu rõ lý do.
* Trường hợp nộp hồ sơ trực tuyến, người đề nghị cấp giấy phép xuất nhập cảnh có thể đề nghị nhận kết quả qua dịch vụ bưu chính và phải trả phí dịch vụ chuyển phát.
* Thời gian tiếp nhận hồ sơ: Từ thứ 2 đến sáng thứ 7 hàng tuần (trừ ngày Tết, ngày lễ). 
Bước 3: Trả kết quả:
+ Người đến nhận kết quả trực tiếp nhận kết quả tại Cục Quản lý xuất nhập cảnh. Khi đến nhận kết quả mang theo giấy hẹn trả kết quả, giấy tờ tùy thân để kiểm tra, đối chiếu. Trường hợp đề nghị nhận kết quả qua dịch vụ bưu chính thực hiện theo hướng dẫn của cơ quan cung cấp dịch vụ bưu chính.
+ Trường hợp không đồng ý cấp giấy phép xuất nhập cảnh thì trả lời bằng văn bản hoặc thông báo trên Cổng dịch vụ công quốc gia hoặc Cổng dịch vụ công Bộ Công an và nêu rõ lý do.
+ Thời gian trả kết quả: Từ thứ 2 đến thứ 6 hàng tuần (trừ ngày Tết, ngày lễ).</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200000 Đồng</w:t>
              <w:t xml:space="preserve"> (200.000đ/lần cấp.)</w:t>
              <w:br/>
              <w:t>File đính kèm: VanBanGoc_157-2015-TT-BTC_bieu phi.pdf</w:t>
            </w:r>
          </w:p>
        </w:tc>
        <w:tc>
          <w:p/>
          <w:p>
            <w:pPr>
              <w:spacing w:after="0" w:before="0" w:lineRule="auto" w:line="276"/>
              <w:jc w:val="left"/>
            </w:pPr>
            <w:r>
              <w:rPr>
                <w:rFonts w:ascii="Times New Roman" w:hAnsi="Times New Roman" w:cs="Times New Roman" w:eastAsia="Times New Roman"/>
                <w:b w:val="false"/>
                <w:sz w:val="26"/>
              </w:rPr>
              <w:t>nộp hồ sơ trực tiếp tại trụ sở Cục Quản lý xuất nhập cảnh.
không quá 05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200000 Đồng</w:t>
              <w:t xml:space="preserve"> (200.000đ/lần cấp.)</w:t>
              <w:br/>
              <w:t>File đính kèm: VanBanGoc_157-2015-TT-BTC_bieu phi.pdf</w:t>
            </w:r>
          </w:p>
        </w:tc>
        <w:tc>
          <w:p/>
          <w:p>
            <w:pPr>
              <w:spacing w:after="0" w:before="0" w:lineRule="auto" w:line="276"/>
              <w:jc w:val="left"/>
            </w:pPr>
            <w:r>
              <w:rPr>
                <w:rFonts w:ascii="Times New Roman" w:hAnsi="Times New Roman" w:cs="Times New Roman" w:eastAsia="Times New Roman"/>
                <w:b w:val="false"/>
                <w:sz w:val="26"/>
              </w:rPr>
              <w:t>nộp hồ sơ trực tuyến qua Cổng dịch vụ công quốc gia hoặc Cổng dịch vụ công Bộ Công an.
không quá 05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200000 Đồng</w:t>
              <w:t xml:space="preserve"> (200.000đ/lần cấp.)</w:t>
              <w:br/>
              <w:t>File đính kèm: VanBanGoc_157-2015-TT-BTC_bieu phi.pdf</w:t>
            </w:r>
          </w:p>
        </w:tc>
        <w:tc>
          <w:p/>
          <w:p>
            <w:pPr>
              <w:spacing w:after="0" w:before="0" w:lineRule="auto" w:line="276"/>
              <w:jc w:val="left"/>
            </w:pPr>
            <w:r>
              <w:rPr>
                <w:rFonts w:ascii="Times New Roman" w:hAnsi="Times New Roman" w:cs="Times New Roman" w:eastAsia="Times New Roman"/>
                <w:b w:val="false"/>
                <w:sz w:val="26"/>
              </w:rPr>
              <w:t>nộp bổ sung hồ sơ qua dịch vụ bưu chính công ích theo thông báo của Cục Quản lý xuất nhập cảnh  trên Cổng dịch vụ công quốc gia hoặc Cổng dịch vụ công Bộ Công an (nếu có).
không quá 05 ngày làm việc kể từ ngày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01 Tờ khai đề nghị cấp, cấp lại giấy phép xuất nhập cảnh (Mẫu NC14).</w:t>
            </w:r>
          </w:p>
        </w:tc>
        <w:tc>
          <w:p/>
          <w:p>
            <w:pPr>
              <w:spacing w:after="0" w:before="0" w:lineRule="auto" w:line="276"/>
              <w:jc w:val="left"/>
            </w:pPr>
            <w:r>
              <w:rPr>
                <w:rFonts w:ascii="Times New Roman" w:hAnsi="Times New Roman" w:cs="Times New Roman" w:eastAsia="Times New Roman"/>
                <w:b w:val="false"/>
                <w:sz w:val="26"/>
              </w:rPr>
              <w:t>NC14.doc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02 ảnh mới chụp, cỡ 4cm x 6cm, phông nền trắng, mặt nhìn thẳng, đầu để trần, không đeo kính màu (01 ảnh dán vào tờ khai, 01 ảnh để rời).</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tường trình về thời gian đã tạm trú tại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nộp hồ sơ trực tuyến thì thành phần hồ sơ phải được chứng thực điện tử theo quy định, trường hợp hồ sơ chưa được chứng thực điện tử thì gửi hồ sơ về cơ quan tiếp nhận thông qua dịch vụ bưu chính công ích.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quản lý xuất nhập cảnh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quản lý xuất nhập cảnh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Tại một trong ba trụ sở làm việc của Cục Quản lý xuất nhập cảnh – Bộ Công an:            + 44-46 Trần Phú, Ba Đình, Hà Nội.            + 254 Nguyễn Trãi, Q.1, TP Hồ Chí Minh.            + 7 Trần Quý Cáp, TP Đà Nẵng.</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xuất nhập cảnh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47/2014/QH13</w:t>
            </w:r>
          </w:p>
        </w:tc>
        <w:tc>
          <w:p/>
          <w:p>
            <w:pPr>
              <w:spacing w:after="0" w:before="0" w:lineRule="auto" w:line="276"/>
              <w:jc w:val="left"/>
            </w:pPr>
            <w:r>
              <w:rPr>
                <w:rFonts w:ascii="Times New Roman" w:hAnsi="Times New Roman" w:cs="Times New Roman" w:eastAsia="Times New Roman"/>
                <w:b w:val="false"/>
                <w:sz w:val="26"/>
              </w:rPr>
              <w:t>Luật 47/2014/QH13</w:t>
            </w:r>
          </w:p>
        </w:tc>
        <w:tc>
          <w:p/>
          <w:p>
            <w:pPr>
              <w:spacing w:after="0" w:before="0" w:lineRule="auto" w:line="276"/>
              <w:jc w:val="left"/>
            </w:pPr>
            <w:r>
              <w:rPr>
                <w:rFonts w:ascii="Times New Roman" w:hAnsi="Times New Roman" w:cs="Times New Roman" w:eastAsia="Times New Roman"/>
                <w:b w:val="false"/>
                <w:sz w:val="26"/>
              </w:rPr>
              <w:t>17-06-2014</w:t>
            </w:r>
          </w:p>
        </w:tc>
        <w:tc>
          <w:p/>
        </w:tc>
      </w:tr>
      <w:tr>
        <w:tc>
          <w:p/>
          <w:p>
            <w:pPr>
              <w:spacing w:after="0" w:before="0" w:lineRule="auto" w:line="276"/>
              <w:jc w:val="left"/>
            </w:pPr>
            <w:r>
              <w:rPr>
                <w:rFonts w:ascii="Times New Roman" w:hAnsi="Times New Roman" w:cs="Times New Roman" w:eastAsia="Times New Roman"/>
                <w:b w:val="false"/>
                <w:sz w:val="26"/>
              </w:rPr>
              <w:t>51/2019/QH14</w:t>
            </w:r>
          </w:p>
        </w:tc>
        <w:tc>
          <w:p/>
          <w:p>
            <w:pPr>
              <w:spacing w:after="0" w:before="0" w:lineRule="auto" w:line="276"/>
              <w:jc w:val="left"/>
            </w:pPr>
            <w:r>
              <w:rPr>
                <w:rFonts w:ascii="Times New Roman" w:hAnsi="Times New Roman" w:cs="Times New Roman" w:eastAsia="Times New Roman"/>
                <w:b w:val="false"/>
                <w:sz w:val="26"/>
              </w:rPr>
              <w:t>Luật 51/2019/QH14</w:t>
            </w:r>
          </w:p>
        </w:tc>
        <w:tc>
          <w:p/>
          <w:p>
            <w:pPr>
              <w:spacing w:after="0" w:before="0" w:lineRule="auto" w:line="276"/>
              <w:jc w:val="left"/>
            </w:pPr>
            <w:r>
              <w:rPr>
                <w:rFonts w:ascii="Times New Roman" w:hAnsi="Times New Roman" w:cs="Times New Roman" w:eastAsia="Times New Roman"/>
                <w:b w:val="false"/>
                <w:sz w:val="26"/>
              </w:rPr>
              <w:t>25-11-2019</w:t>
            </w:r>
          </w:p>
        </w:tc>
        <w:tc>
          <w:p/>
        </w:tc>
      </w:tr>
      <w:tr>
        <w:tc>
          <w:p/>
          <w:p>
            <w:pPr>
              <w:spacing w:after="0" w:before="0" w:lineRule="auto" w:line="276"/>
              <w:jc w:val="left"/>
            </w:pPr>
            <w:r>
              <w:rPr>
                <w:rFonts w:ascii="Times New Roman" w:hAnsi="Times New Roman" w:cs="Times New Roman" w:eastAsia="Times New Roman"/>
                <w:b w:val="false"/>
                <w:sz w:val="26"/>
              </w:rPr>
              <w:t>31/2015/TT-BCA</w:t>
            </w:r>
          </w:p>
        </w:tc>
        <w:tc>
          <w:p/>
          <w:p>
            <w:pPr>
              <w:spacing w:after="0" w:before="0" w:lineRule="auto" w:line="276"/>
              <w:jc w:val="left"/>
            </w:pPr>
            <w:r>
              <w:rPr>
                <w:rFonts w:ascii="Times New Roman" w:hAnsi="Times New Roman" w:cs="Times New Roman" w:eastAsia="Times New Roman"/>
                <w:b w:val="false"/>
                <w:sz w:val="26"/>
              </w:rPr>
              <w:t>Thông tư 31/2015/TT-BCA</w:t>
            </w:r>
          </w:p>
        </w:tc>
        <w:tc>
          <w:p/>
          <w:p>
            <w:pPr>
              <w:spacing w:after="0" w:before="0" w:lineRule="auto" w:line="276"/>
              <w:jc w:val="left"/>
            </w:pPr>
            <w:r>
              <w:rPr>
                <w:rFonts w:ascii="Times New Roman" w:hAnsi="Times New Roman" w:cs="Times New Roman" w:eastAsia="Times New Roman"/>
                <w:b w:val="false"/>
                <w:sz w:val="26"/>
              </w:rPr>
              <w:t>07-07-2015</w:t>
            </w:r>
          </w:p>
        </w:tc>
        <w:tc>
          <w:p/>
        </w:tc>
      </w:tr>
      <w:tr>
        <w:tc>
          <w:p/>
          <w:p>
            <w:pPr>
              <w:spacing w:after="0" w:before="0" w:lineRule="auto" w:line="276"/>
              <w:jc w:val="left"/>
            </w:pPr>
            <w:r>
              <w:rPr>
                <w:rFonts w:ascii="Times New Roman" w:hAnsi="Times New Roman" w:cs="Times New Roman" w:eastAsia="Times New Roman"/>
                <w:b w:val="false"/>
                <w:sz w:val="26"/>
              </w:rPr>
              <w:t>25/2021/TT-BTC</w:t>
            </w:r>
          </w:p>
        </w:tc>
        <w:tc>
          <w:p/>
          <w:p>
            <w:pPr>
              <w:spacing w:after="0" w:before="0" w:lineRule="auto" w:line="276"/>
              <w:jc w:val="left"/>
            </w:pPr>
            <w:r>
              <w:rPr>
                <w:rFonts w:ascii="Times New Roman" w:hAnsi="Times New Roman" w:cs="Times New Roman" w:eastAsia="Times New Roman"/>
                <w:b w:val="false"/>
                <w:sz w:val="26"/>
              </w:rPr>
              <w:t>Thông tư 25/2021/TT-BTC</w:t>
            </w:r>
          </w:p>
        </w:tc>
        <w:tc>
          <w:p/>
          <w:p>
            <w:pPr>
              <w:spacing w:after="0" w:before="0" w:lineRule="auto" w:line="276"/>
              <w:jc w:val="left"/>
            </w:pPr>
            <w:r>
              <w:rPr>
                <w:rFonts w:ascii="Times New Roman" w:hAnsi="Times New Roman" w:cs="Times New Roman" w:eastAsia="Times New Roman"/>
                <w:b w:val="false"/>
                <w:sz w:val="26"/>
              </w:rPr>
              <w:t>07-04-2021</w:t>
            </w:r>
          </w:p>
        </w:tc>
        <w:tc>
          <w:p/>
        </w:tc>
      </w:tr>
      <w:tr>
        <w:tc>
          <w:p/>
          <w:p>
            <w:pPr>
              <w:spacing w:after="0" w:before="0" w:lineRule="auto" w:line="276"/>
              <w:jc w:val="left"/>
            </w:pPr>
            <w:r>
              <w:rPr>
                <w:rFonts w:ascii="Times New Roman" w:hAnsi="Times New Roman" w:cs="Times New Roman" w:eastAsia="Times New Roman"/>
                <w:b w:val="false"/>
                <w:sz w:val="26"/>
              </w:rPr>
              <w:t>23/2023/QH15</w:t>
            </w:r>
          </w:p>
        </w:tc>
        <w:tc>
          <w:p/>
          <w:p>
            <w:pPr>
              <w:spacing w:after="0" w:before="0" w:lineRule="auto" w:line="276"/>
              <w:jc w:val="left"/>
            </w:pPr>
            <w:r>
              <w:rPr>
                <w:rFonts w:ascii="Times New Roman" w:hAnsi="Times New Roman" w:cs="Times New Roman" w:eastAsia="Times New Roman"/>
                <w:b w:val="false"/>
                <w:sz w:val="26"/>
              </w:rPr>
              <w:t>Luật Xuất cảnh, nhập cảnh của công dân Việt Nam và Luật Nhập cảnh, xuất cảnh, quá cảnh, cư trú của người nước ngoài tại Việt Nam sửa đổi 2023</w:t>
            </w:r>
          </w:p>
        </w:tc>
        <w:tc>
          <w:p/>
          <w:p>
            <w:pPr>
              <w:spacing w:after="0" w:before="0" w:lineRule="auto" w:line="276"/>
              <w:jc w:val="left"/>
            </w:pPr>
            <w:r>
              <w:rPr>
                <w:rFonts w:ascii="Times New Roman" w:hAnsi="Times New Roman" w:cs="Times New Roman" w:eastAsia="Times New Roman"/>
                <w:b w:val="false"/>
                <w:sz w:val="26"/>
              </w:rPr>
              <w:t>24-06-2023</w:t>
            </w:r>
          </w:p>
        </w:tc>
        <w:tc>
          <w:p/>
        </w:tc>
      </w:tr>
      <w:tr>
        <w:tc>
          <w:p/>
          <w:p>
            <w:pPr>
              <w:spacing w:after="0" w:before="0" w:lineRule="auto" w:line="276"/>
              <w:jc w:val="left"/>
            </w:pPr>
            <w:r>
              <w:rPr>
                <w:rFonts w:ascii="Times New Roman" w:hAnsi="Times New Roman" w:cs="Times New Roman" w:eastAsia="Times New Roman"/>
                <w:b w:val="false"/>
                <w:sz w:val="26"/>
              </w:rPr>
              <w:t>65/2022/TT-BCA</w:t>
            </w:r>
          </w:p>
        </w:tc>
        <w:tc>
          <w:p/>
          <w:p>
            <w:pPr>
              <w:spacing w:after="0" w:before="0" w:lineRule="auto" w:line="276"/>
              <w:jc w:val="left"/>
            </w:pPr>
            <w:r>
              <w:rPr>
                <w:rFonts w:ascii="Times New Roman" w:hAnsi="Times New Roman" w:cs="Times New Roman" w:eastAsia="Times New Roman"/>
                <w:b w:val="false"/>
                <w:sz w:val="26"/>
              </w:rPr>
              <w:t>Thông tư số 65/2022/TT-BCA ngày 30/12/2022 của Bộ trưởng Bộ Công an bãi bỏ toàn bộ hoặc một phần một số văn bản quy phạm pháp luật do Bộ trưởng Bộ Công an ban hành.</w:t>
            </w:r>
          </w:p>
        </w:tc>
        <w:tc>
          <w:p/>
          <w:p>
            <w:pPr>
              <w:spacing w:after="0" w:before="0" w:lineRule="auto" w:line="276"/>
              <w:jc w:val="left"/>
            </w:pPr>
            <w:r>
              <w:rPr>
                <w:rFonts w:ascii="Times New Roman" w:hAnsi="Times New Roman" w:cs="Times New Roman" w:eastAsia="Times New Roman"/>
                <w:b w:val="false"/>
                <w:sz w:val="26"/>
              </w:rPr>
              <w:t>30-12-2022</w:t>
            </w:r>
          </w:p>
        </w:tc>
        <w:tc>
          <w:p/>
          <w:p>
            <w:pPr>
              <w:spacing w:after="0" w:before="0" w:lineRule="auto" w:line="276"/>
              <w:jc w:val="left"/>
            </w:pPr>
            <w:r>
              <w:rPr>
                <w:rFonts w:ascii="Times New Roman" w:hAnsi="Times New Roman" w:cs="Times New Roman" w:eastAsia="Times New Roman"/>
                <w:b w:val="false"/>
                <w:sz w:val="26"/>
              </w:rPr>
              <w:t>Bộ Công an</w:t>
            </w:r>
          </w:p>
        </w:tc>
      </w:tr>
      <w:tr>
        <w:tc>
          <w:p/>
          <w:p>
            <w:pPr>
              <w:spacing w:after="0" w:before="0" w:lineRule="auto" w:line="276"/>
              <w:jc w:val="left"/>
            </w:pPr>
            <w:r>
              <w:rPr>
                <w:rFonts w:ascii="Times New Roman" w:hAnsi="Times New Roman" w:cs="Times New Roman" w:eastAsia="Times New Roman"/>
                <w:b w:val="false"/>
                <w:sz w:val="26"/>
              </w:rPr>
              <w:t>06/2025/TT-BCA</w:t>
            </w:r>
          </w:p>
        </w:tc>
        <w:tc>
          <w:p/>
          <w:p>
            <w:pPr>
              <w:spacing w:after="0" w:before="0" w:lineRule="auto" w:line="276"/>
              <w:jc w:val="left"/>
            </w:pPr>
            <w:r>
              <w:rPr>
                <w:rFonts w:ascii="Times New Roman" w:hAnsi="Times New Roman" w:cs="Times New Roman" w:eastAsia="Times New Roman"/>
                <w:b w:val="false"/>
                <w:sz w:val="26"/>
              </w:rPr>
              <w:t>Thông tư số 06/2025/TT-BCA ngày 16/01/2025 của Bộ trưởng Bộ Công an bãi bỏ một số văn bản quy phạm pháp luật do Bộ trưởng Bộ Công an ban hành.</w:t>
            </w:r>
          </w:p>
        </w:tc>
        <w:tc>
          <w:p/>
          <w:p>
            <w:pPr>
              <w:spacing w:after="0" w:before="0" w:lineRule="auto" w:line="276"/>
              <w:jc w:val="left"/>
            </w:pPr>
            <w:r>
              <w:rPr>
                <w:rFonts w:ascii="Times New Roman" w:hAnsi="Times New Roman" w:cs="Times New Roman" w:eastAsia="Times New Roman"/>
                <w:b w:val="false"/>
                <w:sz w:val="26"/>
              </w:rPr>
              <w:t>16-01-2025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thẻ thường trú do cơ quan quản lý xuất nhập cảnh của Việt Nam cấp, trường hợp chưa được giải quyết thẻ thường trú thì phải có đơn giải trình về thời gian đã tạm trú tại Việt Nam.
+ Không có hộ chiếu hoặc giấy tờ thay thế hộ chiếu do cơ quan có thẩm quyền của nước ngoài cấp.
+ Không thuộc một trong các trường hợp bị tạm hoãn xuất cảnh theo quy định của pháp luật Việt Nam.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https://thutuc.dichvucong.gov.vn/p/home/dvc-tthc-thu-tuc-hanh-chinh-chi-tiet.html?ma_thu_tuc=1081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2025-11-27T16:25:38Z</dcterms:created>
  <dc:creator>Apache POI</dc:creator>
</cp:coreProperties>
</file>