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giải ngân các chương trình tín dụng bằng tiền mặt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2: NHCSXH nơi thực hiện thủ tục:
- Đối chiếu khớp đúng Chứng minh nhân dân (CMND) hoặc xác nhận của UBND cấp xã nơi người vay cư trú (đối với người vay không có CMND) với hồ sơ của ngân hàng, người vay đến giao dịch;
- Thực hiện chi tiền vay cho người vay, trả sổ vay vốn cho khách hàng lưu trữ.
</w:t>
      </w:r>
    </w:p>
    <w:p>
      <w:pPr>
        <w:spacing w:after="0" w:before="0" w:lineRule="auto" w:line="276"/>
        <w:jc w:val="both"/>
      </w:pPr>
      <w:r>
        <w:rPr>
          <w:rFonts w:ascii="Times New Roman" w:hAnsi="Times New Roman" w:cs="Times New Roman" w:eastAsia="Times New Roman"/>
          <w:b w:val="false"/>
          <w:sz w:val="26"/>
        </w:rPr>
        <w:t>Bước 1: Người vay
- Các thành viên từ đủ 18 tuổi trở lên, có năng lực hành vi dân sự đầy đủ theo quy định của pháp luật thỏa thuận cử 01 (một) cá nhân trong số các thành viên này đại diện theo ủy quyền để đứng tên người vay và thực hiện các giao dịch với NHCSXH nơi thực hiện thủ tục và lập Giấy ủy quyền (mẫu số 01/UQ) đối với trường hợp hộ gia đình vay vốn NHCSXH chưa thực hiện thủ tục lập Giấy ủy quyền khi vay vốn NHCSXH;
- Nộp Giấy ủy quyền (mẫu số 01/UQ) và xuất trình Chứng minh nhân dân (CMND) hoặc xác nhận của UBND cấp xã nơi người vay cư trú (đối với người vay không có CMND) cho NHCSXH nơi thực hiện thủ tục.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Thực hiện trực tiếp tại trụ sở NHCSXH nơi thực hiện thủ tục hoặc Điểm giao dịch xã.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ủy quyền (mẫu số 01/UQ): 02 bản chính (01 bản lưu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vay nhận tiền vay.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91/2015/QH13</w:t>
            </w:r>
          </w:p>
        </w:tc>
        <w:tc>
          <w:p/>
          <w:p>
            <w:pPr>
              <w:spacing w:after="0" w:before="0" w:lineRule="auto" w:line="276"/>
              <w:jc w:val="left"/>
            </w:pPr>
            <w:r>
              <w:rPr>
                <w:rFonts w:ascii="Times New Roman" w:hAnsi="Times New Roman" w:cs="Times New Roman" w:eastAsia="Times New Roman"/>
                <w:b w:val="false"/>
                <w:sz w:val="26"/>
              </w:rPr>
              <w:t>24-11-2015</w:t>
            </w:r>
          </w:p>
        </w:tc>
        <w:tc>
          <w:p/>
        </w:tc>
      </w:tr>
      <w:tr>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1030/NHCS-TD</w:t>
            </w:r>
          </w:p>
        </w:tc>
        <w:tc>
          <w:p/>
          <w:p>
            <w:pPr>
              <w:spacing w:after="0" w:before="0" w:lineRule="auto" w:line="276"/>
              <w:jc w:val="left"/>
            </w:pPr>
            <w:r>
              <w:rPr>
                <w:rFonts w:ascii="Times New Roman" w:hAnsi="Times New Roman" w:cs="Times New Roman" w:eastAsia="Times New Roman"/>
                <w:b w:val="false"/>
                <w:sz w:val="26"/>
              </w:rPr>
              <w:t>Văn bản số 1030/NHCS-TD</w:t>
            </w:r>
          </w:p>
        </w:tc>
        <w:tc>
          <w:p/>
          <w:p>
            <w:pPr>
              <w:spacing w:after="0" w:before="0" w:lineRule="auto" w:line="276"/>
              <w:jc w:val="left"/>
            </w:pPr>
            <w:r>
              <w:rPr>
                <w:rFonts w:ascii="Times New Roman" w:hAnsi="Times New Roman" w:cs="Times New Roman" w:eastAsia="Times New Roman"/>
                <w:b w:val="false"/>
                <w:sz w:val="26"/>
              </w:rPr>
              <w:t>08-06-2007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2530/NHCS-TD</w:t>
            </w:r>
          </w:p>
        </w:tc>
        <w:tc>
          <w:p/>
          <w:p>
            <w:pPr>
              <w:spacing w:after="0" w:before="0" w:lineRule="auto" w:line="276"/>
              <w:jc w:val="left"/>
            </w:pPr>
            <w:r>
              <w:rPr>
                <w:rFonts w:ascii="Times New Roman" w:hAnsi="Times New Roman" w:cs="Times New Roman" w:eastAsia="Times New Roman"/>
                <w:b w:val="false"/>
                <w:sz w:val="26"/>
              </w:rPr>
              <w:t>về một số vướng mắc nghiệp vụ liên quan đến người thừa kế;</w:t>
            </w:r>
          </w:p>
        </w:tc>
        <w:tc>
          <w:p/>
          <w:p>
            <w:pPr>
              <w:spacing w:after="0" w:before="0" w:lineRule="auto" w:line="276"/>
              <w:jc w:val="left"/>
            </w:pPr>
            <w:r>
              <w:rPr>
                <w:rFonts w:ascii="Times New Roman" w:hAnsi="Times New Roman" w:cs="Times New Roman" w:eastAsia="Times New Roman"/>
                <w:b w:val="false"/>
                <w:sz w:val="26"/>
              </w:rPr>
              <w:t>15-09-2008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phải có Chứng minh nhân dân. Trường hợp không có Chứng minh nhân dân thì phải có xác nhận của UBND cấp xã nơi người vay cư trú.
- Người đứng tên vay trên hồ sơ vay vốn là người nhận tiền vay. Trường hợp người vay không trực tiếp đến nhận tiền vay, được ủy quyền cho người thừa kế hoặc một thành viên khác trong hộ (người từ 18 tuổi trở lên có năng lực hành vi dân sự) lĩnh tiền vay nhưng phải có giấy ủy quyền có xác nhận của UBND cấp xã nơi người vay cư trú.</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2025-11-27T16:25:57Z</dcterms:created>
  <dc:creator>Apache POI</dc:creator>
</cp:coreProperties>
</file>