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2.000352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2307/QĐ-NHNN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đăng ký hoạt động nhận ủy thác đầu tư gián tiếp ra nước ngoài đối với tổ chức nhận ủy thác là ngân hàng thương mại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Bước 1: Ngân hàng thương mại có nhu cầu thực hiện hoạt động nhận ủy thác nộp trực tiếp hoặc gửi qua đường bưu điện 05 (năm) bộ hồ sơ đến Ngân hàng Nhà nước. Trường hợp hồ sơ chưa đầy đủ, hợp lệ, trong thời hạn 05 (năm) ngày làm việc kể từ ngày nhận được hồ sơ, Ngân hàng Nhà nước có văn bản yêu cầu ngân hàng thương mại chỉnh sửa, bổ sung hồ sơ;</w:t>
      </w:r>
    </w:p>
    <w:p>
      <w:pPr>
        <w:spacing w:after="0" w:before="0" w:lineRule="auto" w:line="276"/>
        <w:jc w:val="both"/>
      </w:pPr>
      <w:r>
        <w:rPr>
          <w:rFonts w:ascii="Times New Roman" w:hAnsi="Times New Roman" w:cs="Times New Roman" w:eastAsia="Times New Roman"/>
          <w:b w:val="false"/>
          <w:sz w:val="26"/>
        </w:rPr>
        <w:t xml:space="preserve"> Bước 2: Trong thời hạn 35 (ba mươi lăm) ngày kể từ ngày nhận được hồ sơ đầy đủ, hợp lệ, Ngân hàng Nhà nước xem xét cấp hoặc từ chối cấp giấy chứng nhận đăng ký hoạt động nhận ủy thác đầu tư gián tiếp ra nước ngoài cho ngân hàng thương mại. Trường hợp từ chối, Ngân hàng Nhà nước thông báo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Trụ sở cơ quan hành chính (trực tiếp tại Bộ phận Một cửa);
</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 Qua đường bưu điện (dịch vụ bưu chính công ích).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chứng nhận đăng ký hoạt động nhận ủy thác đầu tư gián tiếp ra nước ngoài theo mẫu tại Phụ lục số 05 ban hành kèm theo Thông tư 10;</w:t>
            </w:r>
          </w:p>
        </w:tc>
        <w:tc>
          <w:p/>
          <w:p>
            <w:pPr>
              <w:spacing w:after="0" w:before="0" w:lineRule="auto" w:line="276"/>
              <w:jc w:val="left"/>
            </w:pPr>
            <w:r>
              <w:rPr>
                <w:rFonts w:ascii="Times New Roman" w:hAnsi="Times New Roman" w:cs="Times New Roman" w:eastAsia="Times New Roman"/>
                <w:b w:val="false"/>
                <w:sz w:val="26"/>
              </w:rPr>
              <w:t>Phụ lục 05_TT10.docx</w:t>
            </w:r>
          </w:p>
        </w:tc>
        <w:tc>
          <w:p/>
          <w:p>
            <w:pPr>
              <w:spacing w:after="0" w:before="0" w:lineRule="auto" w:line="276"/>
              <w:jc w:val="left"/>
            </w:pPr>
            <w:r>
              <w:rPr>
                <w:rFonts w:ascii="Times New Roman" w:hAnsi="Times New Roman" w:cs="Times New Roman" w:eastAsia="Times New Roman"/>
                <w:b w:val="false"/>
                <w:sz w:val="26"/>
              </w:rPr>
              <w:t xml:space="preserve">Bản chính: </w:t>
              <w:t>5</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báo cáo tài chính đã được kiểm toán 03 (ba) năm liên tục liền trước năm nộp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5</w:t>
            </w:r>
          </w:p>
        </w:tc>
      </w:tr>
      <w:tr>
        <w:tc>
          <w:p/>
          <w:p>
            <w:pPr>
              <w:spacing w:after="0" w:before="0" w:lineRule="auto" w:line="276"/>
              <w:jc w:val="left"/>
            </w:pPr>
            <w:r>
              <w:rPr>
                <w:rFonts w:ascii="Times New Roman" w:hAnsi="Times New Roman" w:cs="Times New Roman" w:eastAsia="Times New Roman"/>
                <w:b w:val="false"/>
                <w:sz w:val="26"/>
              </w:rPr>
              <w:t>Bản sao văn bản quyết toán thuế hoặc văn bản xác nhận của cơ quan thuế chứng minh việc thực hiện đầy đủ nghĩa vụ tài chính với Nhà nước Việt Nam, không có nợ thuế với ngân sách nhà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5</w:t>
            </w:r>
          </w:p>
        </w:tc>
      </w:tr>
      <w:tr>
        <w:tc>
          <w:p/>
          <w:p>
            <w:pPr>
              <w:spacing w:after="0" w:before="0" w:lineRule="auto" w:line="276"/>
              <w:jc w:val="left"/>
            </w:pPr>
            <w:r>
              <w:rPr>
                <w:rFonts w:ascii="Times New Roman" w:hAnsi="Times New Roman" w:cs="Times New Roman" w:eastAsia="Times New Roman"/>
                <w:b w:val="false"/>
                <w:sz w:val="26"/>
              </w:rPr>
              <w:t>Quy định nội bộ về quản lý hoạt động nhận ủy thác đầu tư gián tiếp ra nước ngoài, trong đó có nội dung về nhận dạng và quản trị rủi ro liên quan đến hoạt động nhận ủy thác để đầu tư gián tiếp ra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5</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về tình hình tuân thủ các quy định về giới hạn, tỷ lệ bảo đảm an toàn trong hoạt động nhận ủy thác của ngân hàng thương mại của năm liền kề năm nộp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5</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hoạt động nhận ủy thác đầu tư gián tiếp ra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135/2015/NĐ-CP</w:t>
            </w:r>
          </w:p>
        </w:tc>
        <w:tc>
          <w:p/>
          <w:p>
            <w:pPr>
              <w:spacing w:after="0" w:before="0" w:lineRule="auto" w:line="276"/>
              <w:jc w:val="left"/>
            </w:pPr>
            <w:r>
              <w:rPr>
                <w:rFonts w:ascii="Times New Roman" w:hAnsi="Times New Roman" w:cs="Times New Roman" w:eastAsia="Times New Roman"/>
                <w:b w:val="false"/>
                <w:sz w:val="26"/>
              </w:rPr>
              <w:t>Nghị định 135/2015/NĐ-CP</w:t>
            </w:r>
          </w:p>
        </w:tc>
        <w:tc>
          <w:p/>
          <w:p>
            <w:pPr>
              <w:spacing w:after="0" w:before="0" w:lineRule="auto" w:line="276"/>
              <w:jc w:val="left"/>
            </w:pPr>
            <w:r>
              <w:rPr>
                <w:rFonts w:ascii="Times New Roman" w:hAnsi="Times New Roman" w:cs="Times New Roman" w:eastAsia="Times New Roman"/>
                <w:b w:val="false"/>
                <w:sz w:val="26"/>
              </w:rPr>
              <w:t>31-12-2015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10/2016/TT-NHNN </w:t>
            </w:r>
          </w:p>
        </w:tc>
        <w:tc>
          <w:p/>
          <w:p>
            <w:pPr>
              <w:spacing w:after="0" w:before="0" w:lineRule="auto" w:line="276"/>
              <w:jc w:val="left"/>
            </w:pPr>
            <w:r>
              <w:rPr>
                <w:rFonts w:ascii="Times New Roman" w:hAnsi="Times New Roman" w:cs="Times New Roman" w:eastAsia="Times New Roman"/>
                <w:b w:val="false"/>
                <w:sz w:val="26"/>
              </w:rPr>
              <w:t>Thông tư 10/2016/TT-NHNN</w:t>
            </w:r>
          </w:p>
        </w:tc>
        <w:tc>
          <w:p/>
          <w:p>
            <w:pPr>
              <w:spacing w:after="0" w:before="0" w:lineRule="auto" w:line="276"/>
              <w:jc w:val="left"/>
            </w:pPr>
            <w:r>
              <w:rPr>
                <w:rFonts w:ascii="Times New Roman" w:hAnsi="Times New Roman" w:cs="Times New Roman" w:eastAsia="Times New Roman"/>
                <w:b w:val="false"/>
                <w:sz w:val="26"/>
              </w:rPr>
              <w:t>29-06-2016</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	16/2019/NĐ-CP</w:t>
            </w:r>
          </w:p>
        </w:tc>
        <w:tc>
          <w:p/>
          <w:p>
            <w:pPr>
              <w:spacing w:after="0" w:before="0" w:lineRule="auto" w:line="276"/>
              <w:jc w:val="left"/>
            </w:pPr>
            <w:r>
              <w:rPr>
                <w:rFonts w:ascii="Times New Roman" w:hAnsi="Times New Roman" w:cs="Times New Roman" w:eastAsia="Times New Roman"/>
                <w:b w:val="false"/>
                <w:sz w:val="26"/>
              </w:rPr>
              <w:t>Nghị định 16/2019/NĐ-CP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15/2019/TT-NHNN</w:t>
            </w:r>
          </w:p>
        </w:tc>
        <w:tc>
          <w:p/>
          <w:p>
            <w:pPr>
              <w:spacing w:after="0" w:before="0" w:lineRule="auto" w:line="276"/>
              <w:jc w:val="left"/>
            </w:pPr>
            <w:r>
              <w:rPr>
                <w:rFonts w:ascii="Times New Roman" w:hAnsi="Times New Roman" w:cs="Times New Roman" w:eastAsia="Times New Roman"/>
                <w:b w:val="false"/>
                <w:sz w:val="26"/>
              </w:rPr>
              <w:t>Thông tư 15/2019/TT-NHNN</w:t>
            </w:r>
          </w:p>
        </w:tc>
        <w:tc>
          <w:p/>
          <w:p>
            <w:pPr>
              <w:spacing w:after="0" w:before="0" w:lineRule="auto" w:line="276"/>
              <w:jc w:val="left"/>
            </w:pPr>
            <w:r>
              <w:rPr>
                <w:rFonts w:ascii="Times New Roman" w:hAnsi="Times New Roman" w:cs="Times New Roman" w:eastAsia="Times New Roman"/>
                <w:b w:val="false"/>
                <w:sz w:val="26"/>
              </w:rPr>
              <w:t>11-10-2019</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lãi trong 03 năm liên tục liền trước năm nộp hồ sơ đề nghị cấp giấy chứng nhận đăng ký hoạt động nhận ủy thác đầu tư gián tiếp ra nước ngoài được thể hiện trên báo cáo tài chính đã được kiểm toán và không có ý kiến ngoại trừ trọng yếu theo quy định của Bộ Tài chính. Báo cáo tài chính phải được kiểm toán bởi tổ chức kiểm toán độc lập không nằm trong danh sách các tổ chức kiểm toán không được kiểm toán đối với tổ chức tín dụng, chi nhánh ngân hàng nước ngoài do Ngân hàng Nhà nước Việt Nam công bố;
+ Thực hiện đầy đủ các nghĩa vụ tài chính với Nhà nước, không có nợ thuế với ngân sách nhà nước;
+ Có quy định nội bộ về quản lý hoạt động nhận ủy thác đầu tư gián tiếp ra nước ngoài, trong đó có nội dung về nhận dạng và quản trị rủi ro liên quan đến hoạt động nhận ủy thác để đầu tư gián tiếp ra nước ngoài;
+ Tuân thủ các quy định hiện hành của pháp luật chuyên ngành về các chỉ tiêu an toàn tài chính, tỷ lệ đảm bảo an toàn trong hoạt động của tổ chức nhận ủy thác.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https://thutuc.dichvucong.gov.vn/p/home/dvc-tthc-thu-tuc-hanh-chinh-chi-tiet.html?ma_thu_tuc=1132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2025-11-27T16:26:16Z</dcterms:created>
  <dc:creator>Apache POI</dc:creator>
</cp:coreProperties>
</file>