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2.000370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kinh doanh cho tổ chức kinh tế có vốn đầu tư nước ngoài để thực hiện quyền nhập khẩu, quyền phân phối bán buôn các hàng hóa là dầu, mỡ bôi trơn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quốc tế</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Tổ chức kinh tế có vốn đầu tư nước ngoài đề nghị cấp Giấy phép kinh doanh lập 02 bộ hồ sơ gửi trực tiếp hoặc qua đường bưu chính hoặc hệ thống dịch vụ công trực tuyến đến Ủy ban nhân dân cấp tỉnh nơi tổ chức kinh tế đặt trụ sở chính. 
- Trường hợp hồ sơ chưa đầy đủ và hợp lệ, trong vòng 03 ngày làm việc kể từ ngày tiếp nhận hồ sơ, Ủy ban nhân dân cấp tỉnh thông báo để tổ chức, cá nhân bổ sung, hoàn chỉnh hồ sơ. Thời gian hoàn chỉnh hồ sơ không được tính vào thời gian cấp Giấy phép kinh doanh;
- Trong thời hạn 10 ngày làm việc, kể từ ngày nhận đủ hồ sơ hợp lệ quy định Ủy ban nhân dân cấp tỉnh nơi tổ chức kinh tế có vốn đầu tư nước ngoài đặt trụ sở chính có trách nhiệm xem xét việc đáp ứng điều kiện. 
+ Trường hợp không cấp Giấy phép kinh doanh, Ủy ban nhân dân cấp tỉnh phải có văn bản trả lời và nêu rõ lý do.
+ Trường hợp đáp ứng điều kiện, Ủy ban nhân dân cấp tỉnh gửi hồ sơ kèm văn bản lấy ý kiến Ủy ban nhân dân cấp tỉnh. 
- Trong thời hạn 15 ngày kể từ ngày nhận được hồ sơ, Ủy ban nhân dân cấp tỉnh xem xét các nội dung tương ứng quy định tại Điều 10 Nghị định 09/2018/NĐ-CP ngày 15/01/2018 để có văn bản chấp thuận cấp Giấy phép kinh doanh; trường hợp từ chối phải có văn bản trả lời và nêu rõ lý do.
- Trong thời hạn 03 ngày làm việc kể từ ngày nhận được văn bản chấp thuận của Ủy ban nhân dân cấp tỉnh, Ủy ban nhân dân cấp tỉnh cấp Giấy phép kinh doanh. Trường hợp Ủy ban nhân dân cấp tỉnh có văn bản từ chối, Ủy ban nhân dân cấp tỉnh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28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Nộp trực tiếp tại Sở Công Thương nơi tổ chức kinh tế có vốn đầu tư nước ngoài đặt trụ sở chính.
28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28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hệ thống dịch vụ công trực tuyến (nếu đủ điều kiện áp dụng).
28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28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Bưu điện.
28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Giấy phép kinh doanh (Mẫu số 01 tại Phụ lục ban hành kèm theo Nghị định 09/2018/NĐ-CP ngày 15/01/2018)</w:t>
            </w:r>
          </w:p>
        </w:tc>
        <w:tc>
          <w:p/>
          <w:p>
            <w:pPr>
              <w:spacing w:after="0" w:before="0" w:lineRule="auto" w:line="276"/>
              <w:jc w:val="left"/>
            </w:pPr>
            <w:r>
              <w:rPr>
                <w:rFonts w:ascii="Times New Roman" w:hAnsi="Times New Roman" w:cs="Times New Roman" w:eastAsia="Times New Roman"/>
                <w:b w:val="false"/>
                <w:sz w:val="26"/>
              </w:rPr>
              <w:t>01MĐ-Đơn cấp GPKD.doc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giải trình có nội dung theo quy định tại khoản 2 Điều 12 Nghị định 09/2018/NĐ-CP ngày 15/01/2018 của Chính phủ</w:t>
            </w:r>
          </w:p>
        </w:tc>
        <w:tc>
          <w:p/>
          <w:p>
            <w:pPr>
              <w:spacing w:after="0" w:before="0" w:lineRule="auto" w:line="276"/>
              <w:jc w:val="left"/>
            </w:pPr>
            <w:r>
              <w:rPr>
                <w:rFonts w:ascii="Times New Roman" w:hAnsi="Times New Roman" w:cs="Times New Roman" w:eastAsia="Times New Roman"/>
                <w:b w:val="false"/>
                <w:sz w:val="26"/>
              </w:rPr>
              <w:t>09CV-Sở hỏi Bộ.doc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chứng nhận đăng ký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2</w:t>
            </w:r>
          </w:p>
        </w:tc>
      </w:tr>
      <w:tr>
        <w:tc>
          <w:p/>
          <w:p>
            <w:pPr>
              <w:spacing w:after="0" w:before="0" w:lineRule="auto" w:line="276"/>
              <w:jc w:val="left"/>
            </w:pPr>
            <w:r>
              <w:rPr>
                <w:rFonts w:ascii="Times New Roman" w:hAnsi="Times New Roman" w:cs="Times New Roman" w:eastAsia="Times New Roman"/>
                <w:b w:val="false"/>
                <w:sz w:val="26"/>
              </w:rPr>
              <w:t>- Bản sao Giấy chứng nhận đăng ký đầu tư dự án hoạt động mua bán hàng hóa và các hoạt động liên quan trực tiếp đến mua bán hàng hóa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2</w:t>
            </w:r>
          </w:p>
        </w:tc>
      </w:tr>
      <w:tr>
        <w:tc>
          <w:p/>
          <w:p>
            <w:pPr>
              <w:spacing w:after="0" w:before="0" w:lineRule="auto" w:line="276"/>
              <w:jc w:val="left"/>
            </w:pPr>
            <w:r>
              <w:rPr>
                <w:rFonts w:ascii="Times New Roman" w:hAnsi="Times New Roman" w:cs="Times New Roman" w:eastAsia="Times New Roman"/>
                <w:b w:val="false"/>
                <w:sz w:val="26"/>
              </w:rPr>
              <w:t>- Tài liệu của cơ quan thuế chứng minh không còn nợ thuế quá hạn.</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KINH DOANH HOẠT ĐỘNG MUA BÁN HÀNG HÓA VÀ CÁC HOẠT ĐỘNG LIÊN QUAN TRỰC TIẾP ĐẾN MUA BÁN HÀNG HÓA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36/2005/QH11</w:t>
            </w:r>
          </w:p>
        </w:tc>
        <w:tc>
          <w:p/>
          <w:p>
            <w:pPr>
              <w:spacing w:after="0" w:before="0" w:lineRule="auto" w:line="276"/>
              <w:jc w:val="left"/>
            </w:pPr>
            <w:r>
              <w:rPr>
                <w:rFonts w:ascii="Times New Roman" w:hAnsi="Times New Roman" w:cs="Times New Roman" w:eastAsia="Times New Roman"/>
                <w:b w:val="false"/>
                <w:sz w:val="26"/>
              </w:rPr>
              <w:t>Luật 36/2005/QH11</w:t>
            </w:r>
          </w:p>
        </w:tc>
        <w:tc>
          <w:p/>
          <w:p>
            <w:pPr>
              <w:spacing w:after="0" w:before="0" w:lineRule="auto" w:line="276"/>
              <w:jc w:val="left"/>
            </w:pPr>
            <w:r>
              <w:rPr>
                <w:rFonts w:ascii="Times New Roman" w:hAnsi="Times New Roman" w:cs="Times New Roman" w:eastAsia="Times New Roman"/>
                <w:b w:val="false"/>
                <w:sz w:val="26"/>
              </w:rPr>
              <w:t>14-06-2005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05/2017/QH14</w:t>
            </w:r>
          </w:p>
        </w:tc>
        <w:tc>
          <w:p/>
          <w:p>
            <w:pPr>
              <w:spacing w:after="0" w:before="0" w:lineRule="auto" w:line="276"/>
              <w:jc w:val="left"/>
            </w:pPr>
            <w:r>
              <w:rPr>
                <w:rFonts w:ascii="Times New Roman" w:hAnsi="Times New Roman" w:cs="Times New Roman" w:eastAsia="Times New Roman"/>
                <w:b w:val="false"/>
                <w:sz w:val="26"/>
              </w:rPr>
              <w:t>Luật 05/2017/QH14</w:t>
            </w:r>
          </w:p>
        </w:tc>
        <w:tc>
          <w:p/>
          <w:p>
            <w:pPr>
              <w:spacing w:after="0" w:before="0" w:lineRule="auto" w:line="276"/>
              <w:jc w:val="left"/>
            </w:pPr>
            <w:r>
              <w:rPr>
                <w:rFonts w:ascii="Times New Roman" w:hAnsi="Times New Roman" w:cs="Times New Roman" w:eastAsia="Times New Roman"/>
                <w:b w:val="false"/>
                <w:sz w:val="26"/>
              </w:rPr>
              <w:t>12-06-2017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67/2014/QH13</w:t>
            </w:r>
          </w:p>
        </w:tc>
        <w:tc>
          <w:p/>
          <w:p>
            <w:pPr>
              <w:spacing w:after="0" w:before="0" w:lineRule="auto" w:line="276"/>
              <w:jc w:val="left"/>
            </w:pPr>
            <w:r>
              <w:rPr>
                <w:rFonts w:ascii="Times New Roman" w:hAnsi="Times New Roman" w:cs="Times New Roman" w:eastAsia="Times New Roman"/>
                <w:b w:val="false"/>
                <w:sz w:val="26"/>
              </w:rPr>
              <w:t>Luật 67/2014/QH13</w:t>
            </w:r>
          </w:p>
        </w:tc>
        <w:tc>
          <w:p/>
          <w:p>
            <w:pPr>
              <w:spacing w:after="0" w:before="0" w:lineRule="auto" w:line="276"/>
              <w:jc w:val="left"/>
            </w:pPr>
            <w:r>
              <w:rPr>
                <w:rFonts w:ascii="Times New Roman" w:hAnsi="Times New Roman" w:cs="Times New Roman" w:eastAsia="Times New Roman"/>
                <w:b w:val="false"/>
                <w:sz w:val="26"/>
              </w:rPr>
              <w:t>26-11-2014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03/2016/QH14</w:t>
            </w:r>
          </w:p>
        </w:tc>
        <w:tc>
          <w:p/>
          <w:p>
            <w:pPr>
              <w:spacing w:after="0" w:before="0" w:lineRule="auto" w:line="276"/>
              <w:jc w:val="left"/>
            </w:pPr>
            <w:r>
              <w:rPr>
                <w:rFonts w:ascii="Times New Roman" w:hAnsi="Times New Roman" w:cs="Times New Roman" w:eastAsia="Times New Roman"/>
                <w:b w:val="false"/>
                <w:sz w:val="26"/>
              </w:rPr>
              <w:t>Sửa đổi, bổ sung Điều 6 và Phụ lục 4 về Danh mục ngành, nghề đầu tư kinh doanh có điều kiện của Luật đầu tư</w:t>
            </w:r>
          </w:p>
        </w:tc>
        <w:tc>
          <w:p/>
          <w:p>
            <w:pPr>
              <w:spacing w:after="0" w:before="0" w:lineRule="auto" w:line="276"/>
              <w:jc w:val="left"/>
            </w:pPr>
            <w:r>
              <w:rPr>
                <w:rFonts w:ascii="Times New Roman" w:hAnsi="Times New Roman" w:cs="Times New Roman" w:eastAsia="Times New Roman"/>
                <w:b w:val="false"/>
                <w:sz w:val="26"/>
              </w:rPr>
              <w:t>22-11-2016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09/2018/NĐ-CP</w:t>
            </w:r>
          </w:p>
        </w:tc>
        <w:tc>
          <w:p/>
          <w:p>
            <w:pPr>
              <w:spacing w:after="0" w:before="0" w:lineRule="auto" w:line="276"/>
              <w:jc w:val="left"/>
            </w:pPr>
            <w:r>
              <w:rPr>
                <w:rFonts w:ascii="Times New Roman" w:hAnsi="Times New Roman" w:cs="Times New Roman" w:eastAsia="Times New Roman"/>
                <w:b w:val="false"/>
                <w:sz w:val="26"/>
              </w:rPr>
              <w:t>Nghị định 09/2018/NĐ-CP</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Có kế hoạch về tài chính để thực hiện hoạt động đề nghị cấp Giấy phép kinh doanh;
- Không còn nợ thuế quá hạn trong trường hợp đã thành lập tại Việt Nam từ 01 năm trở lên.
- Đáp ứng các tiêu chí:
+ Phù hợp với quy định của pháp luật chuyên ngành;
+ Phù hợp với mức độ cạnh tranh của doanh nghiệp trong nước trong cùng lĩnh vực hoạt động;
+ Khả năng tạo việc làm cho lao động trong nước;
+ Khả năng và mức độ đóng góp cho ngân sách nhà nước.
- Tổ chức kinh tế có vốn đầu tư nước ngoài thực hiện một trong các hoạt động:
+ Sản xuất dầu, mỡ bôi trơn tại Việt Nam;
+ Sản xuất hoặc được phép phân phối tại Việt Nam máy móc, thiết bị, hàng hóa có sử dụng dầu, mỡ bôi trơn loại đặc thù.</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https://thutuc.dichvucong.gov.vn/p/home/dvc-tthc-thu-tuc-hanh-chinh-chi-tiet.html?ma_thu_tuc=1174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2025-11-27T16:26:46Z</dcterms:created>
  <dc:creator>Apache POI</dc:creator>
</cp:coreProperties>
</file>