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họp báo trong nước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Báo chí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công dân Việt Nam ở trung ương (không thuộc quy định tại Khoản 2 Điều 41 Luật báo chí) có nhu cầu họp báo phải thông báo bằng văn bản trước 24 giờ tính đến thời điểm dự định họp báo gửi đến Bộ Văn hóa, Thể thao và Du lịch (Cục Báo chí).</w:t>
      </w:r>
    </w:p>
    <w:p>
      <w:pPr>
        <w:spacing w:after="0" w:before="0" w:lineRule="auto" w:line="276"/>
        <w:jc w:val="both"/>
      </w:pPr>
      <w:r>
        <w:rPr>
          <w:rFonts w:ascii="Times New Roman" w:hAnsi="Times New Roman" w:cs="Times New Roman" w:eastAsia="Times New Roman"/>
          <w:b w:val="false"/>
          <w:sz w:val="26"/>
        </w:rPr>
        <w:t>Cơ quan quản lý nhà nước về báo chí có trách nhiệm trả lời tổ chức, công dân về việc họp báo trong thời gian quy định tại khoản 3 Điều 41 Luật báo chí; trường hợp không có văn bản trả lời, tổ chức, công dân được tiến hành họp báo.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Thông báo bằng văn bản trước 24 giờ tính đến thời điểm dự định họp báo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Thông báo bằng văn bản trước 24 giờ tính đến thời điểm dự định họp báo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Thông báo bằng văn bản trước 24 giờ tính đến thời điểm dự định họp báo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họp báo gồm những thông tin sau: - Địa điểm họp báo - Thời gian họp báo - Nội dung họp báo - Người chủ trì họp báo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Báo chí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Báo chí  Số 7 Yết Kiêu, Hai Bà Trưng,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103/2016/QH13</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Nội dung họp báo phải đúng với nội dung đã được cơ quan quản lý nhà nước về báo chí trả lời chấp thuận, trường hợp không có văn bản trả lời thì phải đúng với nội dung đã thông báo với cơ quan quản lý nhà nước về báo chí.
- Nội dung họp báo không có thông tin quy định tại các khoản 1, 2, 3, 4, 5, 6, 7, 8, 9 Điều 9 Luật báo chí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2025-11-27T16:27:02Z</dcterms:created>
  <dc:creator>Apache POI</dc:creator>
</cp:coreProperties>
</file>