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2307/QĐ-NHNN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gia hạn trực tiếp nhận và chi, trả ngoại tệ của Tổng Công ty Bưu điện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Tổng công ty Bưu điện Việt Nam gửi 01 (một) bộ hồ sơ qua đường bưu điện hoặc nộp trực tiếp cho Ngân hàng Nhà nước Việt Nam.</w:t>
      </w:r>
    </w:p>
    <w:p>
      <w:pPr>
        <w:spacing w:after="0" w:before="0" w:lineRule="auto" w:line="276"/>
        <w:jc w:val="both"/>
      </w:pPr>
      <w:r>
        <w:rPr>
          <w:rFonts w:ascii="Times New Roman" w:hAnsi="Times New Roman" w:cs="Times New Roman" w:eastAsia="Times New Roman"/>
          <w:b w:val="false"/>
          <w:sz w:val="26"/>
        </w:rPr>
        <w:t xml:space="preserve"> Bước 2: Trường hợp hồ sơ chưa đầy đủ, hợp lệ, trong thời hạn 10 (mười)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Bước 3: Trong thời hạn 30 (ba mươi) ngày làm việc kể từ ngàynhận đủ hồ sơ hợp lệ, Ngân hàng Nhà nước Việt Nam xem xét, cấp văn bản chấp thuậngia hạn trực tiếp nhận và chi, trả ngoại tệ. Trường hợp từ chối,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Trụ sở cơ quan hành chính (trực tiếp tại Bộ phận Một cửa);
30 ngày kể từ ngày Ngân hàng Nhà nước Việt Nam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 (dịch vụ bưu chính công ích).
30 ngày kể từ ngày Ngân hàng Nhà nước Việt Nam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chấp thuận thay đổi, bổ sung, gia hạn trực tiếpnhận và chi, trả ngoại tệ (theo mẫu tại Phụ lục 5 Thông tư số 34/2015/TT-NHNN);</w:t>
            </w:r>
          </w:p>
        </w:tc>
        <w:tc>
          <w:p/>
          <w:p>
            <w:pPr>
              <w:spacing w:after="0" w:before="0" w:lineRule="auto" w:line="276"/>
              <w:jc w:val="left"/>
            </w:pPr>
            <w:r>
              <w:rPr>
                <w:rFonts w:ascii="Times New Roman" w:hAnsi="Times New Roman" w:cs="Times New Roman" w:eastAsia="Times New Roman"/>
                <w:b w:val="false"/>
                <w:sz w:val="26"/>
              </w:rPr>
              <w:t>Phlc5.docx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chấp thuận trực tiếp nhận và chi, trả ngoại tệ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hợp đồng nhận và chi, trả ngoại tệ ký với đối tác nước ngoài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thực hiện dịch vụ nhận và chi, trả ngoại tệ, bao gồm những nội dung chính sau: (i) Địa bàn hoạt động và nguồn nhân lực dự kiến; (ii) Nội dung, phương thức, quy trình nhận và chi, trả ngoại tệ; (iii) Dự kiến về doanh số, thu nhập từ hoạt động nhận và chi, trả ngoại tệ;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thay đổi, bổ sung trực tiếp nhận và chi, trả ngoại tệ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hợp đồng với đối tác nước ngoài về dịch vụ nhận và chi, trả ngoại tệ;
+ Có phương án thực hiện dịch vụ nhận và chi, trả ngoại tệ do người đại diện hợp pháp ký;
+ Văn bản chấp thuận trực tiếp nhận và chi, trả ngoại tệ đã được cấp còn hiệu lực tối thiểu 30 (ba mươi) ngày tính đến thời điểm nộp hồ sơ;
+ Không vi phạm chế độ báo cáo định kỳ về số liệu nhận và chi, trả ngoại tệ.</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2025-11-27T16:27:14Z</dcterms:created>
  <dc:creator>Apache POI</dc:creator>
</cp:coreProperties>
</file>