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thương nhân kinh doanh mua bán LNG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Sở Công Thương tiếp nhận hồ sơ đề nghị cấp điều chỉnh Giấy chứng nhận đủ điều kiện thương nhân kinh doanh mua bán LNG của thương nhân</w:t>
      </w:r>
    </w:p>
    <w:p>
      <w:pPr>
        <w:spacing w:after="0" w:before="0" w:lineRule="auto" w:line="276"/>
        <w:jc w:val="both"/>
      </w:pPr>
      <w:r>
        <w:rPr>
          <w:rFonts w:ascii="Times New Roman" w:hAnsi="Times New Roman" w:cs="Times New Roman" w:eastAsia="Times New Roman"/>
          <w:b w:val="false"/>
          <w:sz w:val="26"/>
        </w:rPr>
        <w:t>Trong thời hạn 07 ngày làm việc, kể từ ngày nhận được hồ sơ hợp lệ, cơ quan nhà nước có thẩm quyền cấp điều chỉnh Giấy chứng nhận. Thời hạn hiệu lực của Giấy chứng nhận không thay đổi</w:t>
      </w:r>
    </w:p>
    <w:p>
      <w:pPr>
        <w:spacing w:after="0" w:before="0" w:lineRule="auto" w:line="276"/>
        <w:jc w:val="both"/>
      </w:pPr>
      <w:r>
        <w:rPr>
          <w:rFonts w:ascii="Times New Roman" w:hAnsi="Times New Roman" w:cs="Times New Roman" w:eastAsia="Times New Roman"/>
          <w:b w:val="false"/>
          <w:sz w:val="26"/>
        </w:rPr>
        <w:t>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Mau12_khi.docx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Thay đổi về đăng ký kinh doanh;
• Thay đổi địa điểm trụ sở chính; 
•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2025-11-27T16:27:28Z</dcterms:created>
  <dc:creator>Apache POI</dc:creator>
</cp:coreProperties>
</file>