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5651/QĐ-NHCS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người đại diện theo ủy quyền của hộ gia đình vay vốn Ngân hàng Chính sách xã hội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 Các thành viên từ đủ 18 tuổi trở lên, có năng lực hành vi dân sự đầy đủ theo quy định của pháp luật thỏa thuận cử 01 (một) cá nhân trong số các thành viên này đại diện theo ủy quyền để đứng tên người vay và thực hiện các giao dịch với NHCSXH nơi thực hiện thủ tục và lập Giấy sửa đổi ủy quyền (mẫu số 02/UQ). 
- Gửi Ban quản lý Tổ TK&amp;VV Giấy sửa đổi ủy quyền (mẫu số 02/UQ) kèm theo Sổ vay vốn và bản sao (có công chứng hoặc chứng thực) các giấy tờ liên quan.
</w:t>
      </w:r>
    </w:p>
    <w:p>
      <w:pPr>
        <w:spacing w:after="0" w:before="0" w:lineRule="auto" w:line="276"/>
        <w:jc w:val="both"/>
      </w:pPr>
      <w:r>
        <w:rPr>
          <w:rFonts w:ascii="Times New Roman" w:hAnsi="Times New Roman" w:cs="Times New Roman" w:eastAsia="Times New Roman"/>
          <w:b w:val="false"/>
          <w:sz w:val="26"/>
        </w:rPr>
        <w:t>Bước 2. Ban quản lý Tổ TK&amp;VV
Gửi NHCSXH nơi thực hiện thủ tục hồ sơ đề nghị thay đổi người đại diện theo ủy quyền của hộ gia đình vay vốn NHCSXH.
</w:t>
      </w:r>
    </w:p>
    <w:p>
      <w:pPr>
        <w:spacing w:after="0" w:before="0" w:lineRule="auto" w:line="276"/>
        <w:jc w:val="both"/>
      </w:pPr>
      <w:r>
        <w:rPr>
          <w:rFonts w:ascii="Times New Roman" w:hAnsi="Times New Roman" w:cs="Times New Roman" w:eastAsia="Times New Roman"/>
          <w:b w:val="false"/>
          <w:sz w:val="26"/>
        </w:rPr>
        <w:t>Bước 3. NHCSXH nơi thực hiện thủ tục
- Kiểm tra đảm bảo tính hợp lệ, hợp pháp của hồ sơ nhận từ Ban quản lý Tổ TK&amp;VV trình Giám đốc NHCSXH nơi thực hiện thủ tục phê duyệt;
- Sau khi hoàn thiện các quy trình thủ tục theo quy định, NHCSXH nơi thực hiện thủ tục thay đổi người đại diện theo ủy quyền của hộ gia đình vay vốn NHCSXH;
- Giao cho Hộ gia đình Sổ vay vốn người vay lưu giữ đã thay đổi người đại diện theo ủy quyền của hộ gia đình vay vốn NHCSXH.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bộ hồ sơ đề nghị thay đổi người đại diện theo ủy quyền của hộ gia đình vay vốn NHCSXH trực tiếp tới Ban quản lý Tổ TK&amp;VV nơi người vay cư trú hợp pháp
Trong thời hạn 03 (ba) ngày làm việc kể từ ngày NHCSXH nơi thực hiện thủ tục nhận được hồ sơ đầy đủ, hợp lệ từ Ban quản lý Tổ TK&amp;VV.</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sửa đổi ủy quyền (mẫu số 02/UQ): 02 bản (01 bản lưu tại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02-UQ - Giấy sửa đổi UQ 5650-TDNN ngày 28.12.2016) - Copy.doc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Sổ vay vốn: 01 bản chính (bản người vay lưu giữ);</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sao có công chứng hoặc chứng thực (lưu tại NHCSXH nơi thực hiện thủ tục) của một trong các giấy tờ sau: + Giấy chứng tử;  + Quyết định của Tòa án;  + Bản án của Tòa án;  + Giấy xác nhận về tình trạng sức khỏe do cơ quan y tế cấp huyện trở lên và có thời hạn trong vòng 6 tháng tính đến ngày có yêu cầu thay đổi người ủy quyền;  + Hợp đồng lao động ký kết giữa người lao động và doanh nghiệp dịch vụ, tổ chức sự nghiệp đưa người lao động đi làm việc ở nước ngoài theo hợp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Sổ vay vốn người vay lưu giữ đã thay đổi người đại diện theo ủy quyền của hộ gia đình vay vốn NHCSXH.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243/NHCS-TD</w:t>
            </w:r>
          </w:p>
        </w:tc>
        <w:tc>
          <w:p/>
          <w:p>
            <w:pPr>
              <w:spacing w:after="0" w:before="0" w:lineRule="auto" w:line="276"/>
              <w:jc w:val="left"/>
            </w:pPr>
            <w:r>
              <w:rPr>
                <w:rFonts w:ascii="Times New Roman" w:hAnsi="Times New Roman" w:cs="Times New Roman" w:eastAsia="Times New Roman"/>
                <w:b w:val="false"/>
                <w:sz w:val="26"/>
              </w:rPr>
              <w:t>Văn bản số 243/NHCS-TD</w:t>
            </w:r>
          </w:p>
        </w:tc>
        <w:tc>
          <w:p/>
          <w:p>
            <w:pPr>
              <w:spacing w:after="0" w:before="0" w:lineRule="auto" w:line="276"/>
              <w:jc w:val="left"/>
            </w:pPr>
            <w:r>
              <w:rPr>
                <w:rFonts w:ascii="Times New Roman" w:hAnsi="Times New Roman" w:cs="Times New Roman" w:eastAsia="Times New Roman"/>
                <w:b w:val="false"/>
                <w:sz w:val="26"/>
              </w:rPr>
              <w:t>18-02-2009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64/NQ-CP</w:t>
            </w:r>
          </w:p>
        </w:tc>
        <w:tc>
          <w:p/>
          <w:p>
            <w:pPr>
              <w:spacing w:after="0" w:before="0" w:lineRule="auto" w:line="276"/>
              <w:jc w:val="left"/>
            </w:pPr>
            <w:r>
              <w:rPr>
                <w:rFonts w:ascii="Times New Roman" w:hAnsi="Times New Roman" w:cs="Times New Roman" w:eastAsia="Times New Roman"/>
                <w:b w:val="false"/>
                <w:sz w:val="26"/>
              </w:rPr>
              <w:t>Văn bản 64/NQ-CP</w:t>
            </w:r>
          </w:p>
        </w:tc>
        <w:tc>
          <w:p/>
          <w:p>
            <w:pPr>
              <w:spacing w:after="0" w:before="0" w:lineRule="auto" w:line="276"/>
              <w:jc w:val="left"/>
            </w:pPr>
            <w:r>
              <w:rPr>
                <w:rFonts w:ascii="Times New Roman" w:hAnsi="Times New Roman" w:cs="Times New Roman" w:eastAsia="Times New Roman"/>
                <w:b w:val="false"/>
                <w:sz w:val="26"/>
              </w:rPr>
              <w:t>21-12-2010</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đại diện theo ủy quyền của hộ vay vốn NHCSXH thuộc một trong các trường hợp sau:
+ Chết: có Giấy chứng tử;
+ Bị tuyên bố là chết: có Quyết định của Tòa án;
+ Mất tích: có Quyết định của Tòa án;
+ Mất năng lực hành vi dân sự: có Quyết định của Tòa án;
+ Khó khăn trong nhận thức, làm chủ hành vi: có Quyết định của Tòa án; 
+ Đang chấp hành án phạt tù giam: có Bản án của Tòa án; 
+ Ly hôn và các tranh chấp khác làm thay đổi nghĩa vụ trả nợ của người đang đứng tên người vay: có Bản án của Tòa án;
+ Ốm đau dài ngày không trực tiếp tham gia được các giao dịch với NHCSXH nơi cho vay: có Giấy xác nhận về tình trạng sức khỏe do cơ quan y tế cấp huyện trở lên cấp, có thời hạn trong vòng 6 tháng tính đến ngày có yêu cầu thay đổi người ủy quyền;
+ Đi lao động có thời hạn ở nước ngoài: có Hợp đồng ký kết giữa người lao động và doanh nghiệp dịch vụ, tổ chức sự nghiệp đưa người lao động đi làm việc ở nước ngoài theo hợp đồng.
- Có sự thống nhất của Các thành viên từ đủ 18 tuổi trở lên, có năng lực hành vi dân sự đầy đủ theo quy định của pháp luật thỏa thuận cử 01 (một) cá nhân trong số các thành viên này đại diện theo ủy quyền để đứng tên người vay và thực hiện các giao dịch với NHCSXH nơi thực hiện thủ tục; Việc thỏa thuận thay đổi người đại diện theo ủy quyền phải lập Giấy sửa đổi ủy quyền (mẫu số 02/UQ) trước sự chứng kiến của Trưởng thôn;
- Được UBND cấp xã xác nhận trên Giấy sửa đổi ủy quyền (mẫu số 02/UQ).</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2025-11-27T16:27:44Z</dcterms:created>
  <dc:creator>Apache POI</dc:creator>
</cp:coreProperties>
</file>