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2.000401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bổ sung, sửa đổi Giấy chứng nhận đăng ký hoạt động giám định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Tiêu chuẩn đo lường chất lượng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Trường hợp hồ sơ không đầy đủ theo quy định, trong thời hạn 05 ngày, kể từ ngày nhận được hồ sơ đăng ký, cơ quan tiếp nhận hồ sơ thông báo bằng văn bản yêu cầu tổ chức giám định sửa đổi, bổ sung hồ sơ;
b) Trường hợp hồ sơ đầy đủ và hợp lệ, trong thời hạn 10 ngày làm việc, kể từ khi nhận được hồ sơ, Ủy  ban nhân dân tỉnh/thành phố chịu trách nhiệm cấp Giấy chứng nhận cho tổ chức giám định theo Mẫu số 10 tại Phụ lục ban hành kèm theo Nghị định số 154/2018/NĐ-CP của Chính phủ;
c) Thời hạn hiệu lực của Giấy chứng nhận ghi theo thời hạn hiệu lực của Giấy chứng nhận đăng ký hoạt động giám định đã được cấp.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Tổ chức giám định lập 01 bộ hồ sơ theo quy định tại Điều 14 Nghị định số 107/2016/NĐ-CP của Chính phủ được sửa đổi, bổ sung bởi Nghị định số 154/2018/NĐ-CP của Chính phủ và nộp theo một trong các hình thức sau:
1. Trường hợp nộp hồ sơ trực tiếp tại trụ sở cơ quan tiếp nhận hồ sơ, bản sao các chứng chỉ, tài liệu quy định tại Điều 14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giám định phải nộp bản sao đã được chứng thực các chứng chỉ, tài liệu quy định tại các Điều 14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Tổ chức giám định lập 01 bộ hồ sơ theo quy định tại Điều 14 Nghị định số 107/2016/NĐ-CP của Chính phủ được sửa đổi, bổ sung bởi Nghị định số 154/2018/NĐ-CP của Chính phủ và nộp theo một trong các hình thức sau:
1. Trường hợp nộp hồ sơ trực tiếp tại trụ sở cơ quan tiếp nhận hồ sơ, bản sao các chứng chỉ, tài liệu quy định tại Điều 14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giám định phải nộp bản sao đã được chứng thực các chứng chỉ, tài liệu quy định tại các Điều 14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Tổ chức giám định lập 01 bộ hồ sơ theo quy định tại Điều 14 Nghị định số 107/2016/NĐ-CP của Chính phủ được sửa đổi, bổ sung bởi Nghị định số 154/2018/NĐ-CP của Chính phủ và nộp theo một trong các hình thức sau:
1. Trường hợp nộp hồ sơ trực tiếp tại trụ sở cơ quan tiếp nhận hồ sơ, bản sao các chứng chỉ, tài liệu quy định tại Điều 14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giám định phải nộp bản sao đã được chứng thực các chứng chỉ, tài liệu quy định tại các Điều 14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Đơn đăng ký bổ sung, sửa đổi hoạt động giám định theo Mẫu số 05 tại Phụ lục ban hành kèm theo Nghị định số 154/2018/NĐ-CP của Chính phủ;</w:t>
            </w:r>
          </w:p>
        </w:tc>
        <w:tc>
          <w:p/>
          <w:p>
            <w:pPr>
              <w:spacing w:after="0" w:before="0" w:lineRule="auto" w:line="276"/>
              <w:jc w:val="left"/>
            </w:pPr>
            <w:r>
              <w:rPr>
                <w:rFonts w:ascii="Times New Roman" w:hAnsi="Times New Roman" w:cs="Times New Roman" w:eastAsia="Times New Roman"/>
                <w:b w:val="false"/>
                <w:sz w:val="26"/>
              </w:rPr>
              <w:t>Mus05TINH.docx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Danh sách bổ sung, sửa đổi giám định viên theo Mẫu số 02 tại Phụ lục ban hành kèm theo Nghị định số 154/2018/NĐ-CP của Chính phủ và các chứng chỉ, tài liệu liên quan đối với mỗi giám định viên gồm: Bản sao Quyết định tuyển dụng hoặc Hợp đồng lao động; bản sao các bằng cấp, chứng chỉ theo quy định tại khoản 3 Điều 13 Nghị định số 107/2016/NĐ-CP của Chính phủ được sửa đổi, bổ sung bởi Nghị định số 154/2018/NĐ-CP của Chính phủ; tóm tắt quá trình công tác, kinh nghiệm hoạt động giám định theo Mẫu số 03 tại Phụ lục ban hành kèm theo Nghị định số 154/2018/NĐ-CP của Chính phủ và tài liệu chứng minh kinh nghiệm giám định chất lượng sản phẩm, hàng hóa của giám định viên;</w:t>
            </w:r>
          </w:p>
        </w:tc>
        <w:tc>
          <w:p/>
          <w:p>
            <w:pPr>
              <w:spacing w:after="0" w:before="0" w:lineRule="auto" w:line="276"/>
              <w:jc w:val="left"/>
            </w:pPr>
            <w:r>
              <w:rPr>
                <w:rFonts w:ascii="Times New Roman" w:hAnsi="Times New Roman" w:cs="Times New Roman" w:eastAsia="Times New Roman"/>
                <w:b w:val="false"/>
                <w:sz w:val="26"/>
              </w:rPr>
              <w:t>Mus02.docx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Tài liệu chứng minh năng lực hoạt động giám định bổ sung, sửa đổi đáp ứng các yêu cầu quy định tại khoản 2 Điều 13 Nghị định số 107/2016/NĐ-CP của Chính phủ được sửa đổi, bổ sung bởi Nghị định số 154/2018/NĐ-CP của Chính phủ, cụ thể như sau: Trường hợp tổ chức giám định đã được tổ chức công nhận quy định tại Điều 21 Nghị định số 107/2016/NĐ-CP của Chính phủ được sửa đổi, bổ sung bởi Nghị định số 154/2018/NĐ-CP của Chính phủ hoặc tổ chức công nhận nước ngoài quy định tại Điều 25 Nghị định số 107/2016/NĐ-CP của Chính phủ được sửa đổi, bổ sung bởi Nghị định số 154/2018/NĐ-CP của Chính phủ công nhận hoạt động giám định, tổ chức giám định nộp bản sao Chứng chỉ công nhận kèm theo phạm vi được công nhận. Trường hợp tổ chức giám định đã được tổ chức công nhận quy định tại Điều 21 Nghị định số 107/2016/NĐ-CP của Chính phủ được sửa đổi, bổ sung bởi Nghị định số 154/2018/NĐ-CP của Chính phủ hoặc tổ chức công nhận nước ngoài quy định tại Điều 25 Nghị định số 107/2016/NĐ-CP của Chính phủ được sửa đổi, bổ sung bởi Nghị định số 154/2018/NĐ-CP của Chính phủ công nhận nhưng có phạm vi đăng ký hoạt động rộng hơn phạm vi được công nhận, tổ chức giám định nộp bản sao Chứng chỉ công nhận kèm theo phạm vi được công nhận và các tài liệu, quy trình giám định, các tài liệu khác liên quan để chứng minh năng lực hoạt động phù hợp với các yêu cầu của tiêu chuẩn tương ứng quy định tại khoản 2 Điều 13 Nghị định này đối với phạm vi chưa được công nhận. Trường hợp tổ chức giám định chưa được công nhận, tổ chức giám định nộp các tài liệu, quy trình giám định và các tài liệu khác liên quan để chứng minh năng lực hoạt động phù hợp với các yêu cầu của tiêu chuẩn tương ứng quy định tại khoản 2 Điều 13 Nghị định số 107/2016/NĐ-CP của Chính phủ được sửa đổi, bổ sung bởi Nghị định số 154/2018/NĐ-CP của Chính phủ.</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cấp bổ sung, sửa đổi Giấy chứng nhận đăng ký hoạt động giám định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107/2016/NĐ-CP</w:t>
            </w:r>
          </w:p>
        </w:tc>
        <w:tc>
          <w:p/>
          <w:p>
            <w:pPr>
              <w:spacing w:after="0" w:before="0" w:lineRule="auto" w:line="276"/>
              <w:jc w:val="left"/>
            </w:pPr>
            <w:r>
              <w:rPr>
                <w:rFonts w:ascii="Times New Roman" w:hAnsi="Times New Roman" w:cs="Times New Roman" w:eastAsia="Times New Roman"/>
                <w:b w:val="false"/>
                <w:sz w:val="26"/>
              </w:rPr>
              <w:t>Thủ tục cấp bổ sung, sửa đổi Giấy chứng nhận đăng ký hoạt động giám định</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107/2016/NĐ-CP</w:t>
            </w:r>
          </w:p>
        </w:tc>
        <w:tc>
          <w:p/>
          <w:p>
            <w:pPr>
              <w:spacing w:after="0" w:before="0" w:lineRule="auto" w:line="276"/>
              <w:jc w:val="left"/>
            </w:pPr>
            <w:r>
              <w:rPr>
                <w:rFonts w:ascii="Times New Roman" w:hAnsi="Times New Roman" w:cs="Times New Roman" w:eastAsia="Times New Roman"/>
                <w:b w:val="false"/>
                <w:sz w:val="26"/>
              </w:rPr>
              <w:t>Thủ tục cấp bổ sung, sửa đổi Giấy chứng nhận đăng ký hoạt động giám định</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Giấy chứng nhận đăng ký hoạt động giám định đã cấp còn hiệu lực;
Trường hợp bổ sung lĩnh vực hoạt động giám định, phải có ít nhất 02 giám định viên chính thức của tổ chức (viên chức hoặc lao động ký hợp đồng có thời hạn từ 12 tháng trở lên hoặc lao động ký hợp đồng không xác định thời hạn) tương ứng với lĩnh vực giám định đăng ký bổ sung, đáp ứng các điều kiện quy định tại Nghị định số 107/2016/NĐ-CP của Chính phủ được sửa đổi, bổ sung bởi Nghị định số 154/2018/NĐ-CP của Chính phủ.</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https://thutuc.dichvucong.gov.vn/p/home/dvc-tthc-thu-tuc-hanh-chinh-chi-tiet.html?ma_thu_tuc=1248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2025-11-27T16:27:45Z</dcterms:created>
  <dc:creator>Apache POI</dc:creator>
</cp:coreProperties>
</file>