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2.000406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3657/QĐ-BNG</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chứng nhận lãnh sự, hợp pháp hoá lãnh sự tại Cơ quan đại diện VIệt Nam ở nước ngoài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Cơ quan khác</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Chứng nhận lãnh sự, hợp pháp hóa lãnh sự</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Nộp hồ sơ tại trụ sở Cơ quan đại diện ngoại giao, cơ quan lãnh sự hoặc cơ quan khác được giao thực hiện chức năng lãnh sự của Việt Nam ở nước ngoài (Sau đây gọi là Cơ quan đại diện) có thẩm quyền chứng nhận lãnh sự, hợp pháp hóa lãnh sự ở nước ngoài.
Thời gian nộp hồ sơ và nhận kết quả: các ngày làm việc theo quy định của Cơ quan đại diện (trừ các ngày nghỉ, ngày lễ theo quy định của nước sở tại và các ngày lễ, Tết theo quy định của Việt Nam).</w:t>
      </w:r>
    </w:p>
    <w:p>
      <w:pPr>
        <w:spacing w:after="0" w:before="0" w:lineRule="auto" w:line="276"/>
        <w:jc w:val="both"/>
      </w:pPr>
      <w:r>
        <w:rPr>
          <w:rFonts w:ascii="Times New Roman" w:hAnsi="Times New Roman" w:cs="Times New Roman" w:eastAsia="Times New Roman"/>
          <w:b w:val="false"/>
          <w:sz w:val="26"/>
        </w:rPr>
        <w:t>- Cơ quan đại diện tiếp nhận hồ sơ, xem xét giải quyết.</w:t>
      </w:r>
    </w:p>
    <w:p>
      <w:pPr>
        <w:spacing w:after="0" w:before="0" w:lineRule="auto" w:line="276"/>
        <w:jc w:val="both"/>
      </w:pPr>
      <w:r>
        <w:rPr>
          <w:rFonts w:ascii="Times New Roman" w:hAnsi="Times New Roman" w:cs="Times New Roman" w:eastAsia="Times New Roman"/>
          <w:b w:val="false"/>
          <w:sz w:val="26"/>
        </w:rPr>
        <w:t>- Nhận kết quả trực tiếp tại trụ sở cơ quan hoặc hồ sơ được gửi qua đường bưu chính.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 Ngày làm việc</w:t>
            </w:r>
          </w:p>
        </w:tc>
        <w:tc>
          <w:p/>
          <w:p>
            <w:pPr>
              <w:spacing w:after="0" w:before="0" w:lineRule="auto" w:line="276"/>
              <w:jc w:val="left"/>
            </w:pPr>
            <w:r>
              <w:rPr>
                <w:rFonts w:ascii="Times New Roman" w:hAnsi="Times New Roman" w:cs="Times New Roman" w:eastAsia="Times New Roman"/>
                <w:b w:val="false"/>
                <w:sz w:val="26"/>
              </w:rPr>
              <w:t>Lệ phí : 10 USD</w:t>
            </w:r>
          </w:p>
        </w:tc>
        <w:tc>
          <w:p/>
          <w:p>
            <w:pPr>
              <w:spacing w:after="0" w:before="0" w:lineRule="auto" w:line="276"/>
              <w:jc w:val="left"/>
            </w:pPr>
            <w:r>
              <w:rPr>
                <w:rFonts w:ascii="Times New Roman" w:hAnsi="Times New Roman" w:cs="Times New Roman" w:eastAsia="Times New Roman"/>
                <w:b w:val="false"/>
                <w:sz w:val="26"/>
              </w:rPr>
              <w:t>kể từ ngày cơ quan có thẩm quyền giải quyết nhận đủ hồ sơ hợp lệ đối với trường hợp hồ sơ có số lượng từ 01 đến 04 giấy tờ, tài liệu.
- Trường hợp mẫu con dấu, mẫu chữ ký và chức danh của cơ quan và người có thẩm quyền chứng nhận lãnh sự nước ngoài chưa được chính thức thông báo hoặc cần kiểm tra tính xác thực, Cơ quan đại diện đề nghị cơ quan có thẩm quyền của nước ngoài xác minh. Ngay sau khi nhận được kết quả xác minh, Cơ quan đại diện giải quyết hồ sơ và trả kết quả cho đương sự.</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 Ngày làm việc</w:t>
            </w:r>
          </w:p>
        </w:tc>
        <w:tc>
          <w:p/>
          <w:p>
            <w:pPr>
              <w:spacing w:after="0" w:before="0" w:lineRule="auto" w:line="276"/>
              <w:jc w:val="left"/>
            </w:pPr>
            <w:r>
              <w:rPr>
                <w:rFonts w:ascii="Times New Roman" w:hAnsi="Times New Roman" w:cs="Times New Roman" w:eastAsia="Times New Roman"/>
                <w:b w:val="false"/>
                <w:sz w:val="26"/>
              </w:rPr>
              <w:t>Lệ phí : 10 USD</w:t>
            </w:r>
          </w:p>
        </w:tc>
        <w:tc>
          <w:p/>
          <w:p>
            <w:pPr>
              <w:spacing w:after="0" w:before="0" w:lineRule="auto" w:line="276"/>
              <w:jc w:val="left"/>
            </w:pPr>
            <w:r>
              <w:rPr>
                <w:rFonts w:ascii="Times New Roman" w:hAnsi="Times New Roman" w:cs="Times New Roman" w:eastAsia="Times New Roman"/>
                <w:b w:val="false"/>
                <w:sz w:val="26"/>
              </w:rPr>
              <w:t>kể từ ngày cơ quan có thẩm quyền giải quyết nhận đủ hồ sơ hợp lệ đối với trường hợp hồ sơ có số lượng từ 05 đến 09 giấy tờ, tài liệu 
- Trường hợp mẫu con dấu, mẫu chữ ký và chức danh của cơ quan và người có thẩm quyền chứng nhận lãnh sự nước ngoài chưa được chính thức thông báo hoặc cần kiểm tra tính xác thực, Cơ quan đại diện đề nghị cơ quan có thẩm quyền của nước ngoài xác minh. Ngay sau khi nhận được kết quả xác minh, Cơ quan đại diện giải quyết hồ sơ và trả kết quả cho đương sự.</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4 Ngày làm việc</w:t>
            </w:r>
          </w:p>
        </w:tc>
        <w:tc>
          <w:p/>
          <w:p>
            <w:pPr>
              <w:spacing w:after="0" w:before="0" w:lineRule="auto" w:line="276"/>
              <w:jc w:val="left"/>
            </w:pPr>
            <w:r>
              <w:rPr>
                <w:rFonts w:ascii="Times New Roman" w:hAnsi="Times New Roman" w:cs="Times New Roman" w:eastAsia="Times New Roman"/>
                <w:b w:val="false"/>
                <w:sz w:val="26"/>
              </w:rPr>
              <w:t>Lệ phí : 10 USD</w:t>
            </w:r>
          </w:p>
        </w:tc>
        <w:tc>
          <w:p/>
          <w:p>
            <w:pPr>
              <w:spacing w:after="0" w:before="0" w:lineRule="auto" w:line="276"/>
              <w:jc w:val="left"/>
            </w:pPr>
            <w:r>
              <w:rPr>
                <w:rFonts w:ascii="Times New Roman" w:hAnsi="Times New Roman" w:cs="Times New Roman" w:eastAsia="Times New Roman"/>
                <w:b w:val="false"/>
                <w:sz w:val="26"/>
              </w:rPr>
              <w:t>kể từ ngày cơ quan có thẩm quyền giải quyết nhận đủ hồ sơ hợp lệ đối với trường hợp hồ sơ có số lượng từ 10 giấy tờ, tài liệu trở l- Trường hợp mẫu con dấu, mẫu chữ ký và chức danh của cơ quan và người có thẩm quyền chứng nhận lãnh sự nước ngoài chưa được chính thức thông báo hoặc cần kiểm tra tính xác thực, Cơ quan đại diện đề nghị cơ quan có thẩm quyền của nước ngoài xác minh. Ngay sau khi nhận được kết quả xác minh, Cơ quan đại diện giải quyết hồ sơ và trả kết quả cho đương sự.</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a. Đối với việc chứng nhận lãnh sự giấy tờ, tài liệu của Việt Nam để được công nhận và sử dụng ở nước ngoài:</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01 Tờ khai chứng nhận/hợp pháp hoá lãnh sự theo mẫu được quy định.</w:t>
            </w:r>
          </w:p>
        </w:tc>
        <w:tc>
          <w:p/>
          <w:p>
            <w:pPr>
              <w:spacing w:after="0" w:before="0" w:lineRule="auto" w:line="276"/>
              <w:jc w:val="left"/>
            </w:pPr>
            <w:r>
              <w:rPr>
                <w:rFonts w:ascii="Times New Roman" w:hAnsi="Times New Roman" w:cs="Times New Roman" w:eastAsia="Times New Roman"/>
                <w:b w:val="false"/>
                <w:sz w:val="26"/>
              </w:rPr>
              <w:t>ThutucCNLSHPHLSCNXTtrongnuoc.docx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Xuất trình bản chính hoặc bản sao Thẻ căn cước công dân/Thẻ căn cước/Giấy chứng nhận căn cước hoặc Hộ chiếu, giấy tờ xuất nhập cảnh/giấy tờ có giá trị đi lại quốc tế còn giá trị sử dụng hoặc xuất trình Căn cước điện tử hoặc giấy tờ tùy thân khác theo quy định của pháp luật sở tại. Đối với trường hợp nộp qua dịch vụ bưu chính : 01 bản sao Thẻ căn cước công dân/Thẻ căn cước/Giấy chứng nhận căn cước hoặc Hộ chiếu, giấy tờ xuất nhập cảnh/giấy tờ có giá trị đi lại quốc tế còn giá trị sử dụng hoặc giấy tờ tùy thân khác theo quy định của pháp luật sở tại. Bản sao các loại giấy tờ này là bản chụp từ bản chính và không phải chứng thực.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Giấy tờ, tài liệu đề nghị được chứng nhận lãnh sự đã được Cơ quan có thẩm quyền trong nước chứng nhận theo quy định tại Điều 11 Nghị định 196/2025/NĐ-CP hoặc giấy tờ, tài liệu do Cơ quan đại diện Việt Nam tại nước khác lập, cấp, xác nhận.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01 bản chụp giấy tờ, tài liệu đề nghị được chứng nhận lãnh sự để lưu tại Cơ quan đại diện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01 phong bì có dán tem và ghi rõ địa chỉ người nhận (nếu hồ sơ gửi qua dịch vụ bưu chính và yêu cầu trả kết quả qua dịch vụ bưu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b. Đối với việc hợp pháp hóa lãnh sự giấy tờ, tài liệu của nước ngoài để được công nhận và sử dụng ở Việt Nam: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01 Tờ khai chứng nhận/hợp pháp hoá lãnh sự theo mẫu được quy định.</w:t>
            </w:r>
          </w:p>
        </w:tc>
        <w:tc>
          <w:p/>
          <w:p>
            <w:pPr>
              <w:spacing w:after="0" w:before="0" w:lineRule="auto" w:line="276"/>
              <w:jc w:val="left"/>
            </w:pPr>
            <w:r>
              <w:rPr>
                <w:rFonts w:ascii="Times New Roman" w:hAnsi="Times New Roman" w:cs="Times New Roman" w:eastAsia="Times New Roman"/>
                <w:b w:val="false"/>
                <w:sz w:val="26"/>
              </w:rPr>
              <w:t>ThutucCNLSHPHLSCNXTtrongnuoc.docx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Xuất trình bản chính hoặc bản sao Thẻ căn cước công dân/Thẻ căn cước/Giấy chứng nhận căn cước hoặc Hộ chiếu, giấy tờ xuất nhập cảnh/giấy tờ có giá trị đi lại quốc tế còn giá trị sử dụng hoặc xuất trình Căn cước điện tử hoặc giấy tờ tùy thân khác theo quy định của pháp luật sở tại; Đối với trường hợp nộp qua dịch vụ bưu chính: nộp 01 bản sao Thẻ căn cước công dân/Thẻ căn cước/Giấy chứng nhận căn cước hoặc Hộ chiếu, giấy tờ xuất nhập cảnh/giấy tờ có giá trị đi lại quốc tế còn giá trị sử dụng hoặc giấy tờ tùy thân khác theo quy định của pháp luật sở tại. Bản sao các loại giấy tờ nêu tại khoản này là bản chụp từ bản chính và không phải chứng thực;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Giấy tờ, tài liệu đề nghị được hợp pháp hóa lãnh sự, đã được chứng nhận bởi Bộ Ngoại giao hoặc cơ quan có thẩm quyền khác của nước ngoài hoặc cơ quan đại diện nước ngoài nơi có Cơ quan đại diện hoặc Cơ quan đại diện kiêm nhiệm;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01 bản dịch giấy tờ, tài liệu đề nghị được hợp pháp hóa lãnh sự sang tiếng Việt, tiếng Anh hoặc tiếng nước ngoài mà cán bộ tiếp nhận hồ sơ có thể hiểu được, nếu giấy tờ, tài liệu đó không được lập bằng các thứ tiếng trên;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01 bản chụp giấy tờ, tài liệu đề nghị được hợp pháp hóa lãnh sự để lưu tại Cơ quan đại diện.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01 phong bì có dán tem và ghi rõ địa chỉ người nhận (nếu hồ sơ gửi qua dịch vụ bưu chính và yêu cầu trả kết quả qua dịch vụ bưu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Trường hợp cần kiểm tra tính xác thực của giấy tờ, tài liệu đề nghị được hợp pháp hóa lãnh sự, cán bộ tiếp nhận hồ sơ có thể yêu cầu người đề nghị hợp pháp hóa xuất trình bổ sung bản chính giấy tờ, tài liệu có liên quan và nộp 01 bản chụp giấy tờ, tài liệu này để lưu tại Cơ quan đại diện.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Cán bộ, công chức, viên chức, Doanh nghiệp,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Cơ quan đại diện Việt Nam ở nước ngoài</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Cơ quan đại diện Việt Nam ở nước ngoài</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Trụ sở Cơ quan đại diện hoặc qua bưu điện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Cấp Tem (hoặc dấu) chứng nhận/hợp pháp hóa lãnh sự trên giấy tờ, tài liệu.</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111/2011/NĐ-CP</w:t>
            </w:r>
          </w:p>
        </w:tc>
        <w:tc>
          <w:p/>
          <w:p>
            <w:pPr>
              <w:spacing w:after="0" w:before="0" w:lineRule="auto" w:line="276"/>
              <w:jc w:val="left"/>
            </w:pPr>
            <w:r>
              <w:rPr>
                <w:rFonts w:ascii="Times New Roman" w:hAnsi="Times New Roman" w:cs="Times New Roman" w:eastAsia="Times New Roman"/>
                <w:b w:val="false"/>
                <w:sz w:val="26"/>
              </w:rPr>
              <w:t>Nghị định 111/2011/NĐ-CP</w:t>
            </w:r>
          </w:p>
        </w:tc>
        <w:tc>
          <w:p/>
          <w:p>
            <w:pPr>
              <w:spacing w:after="0" w:before="0" w:lineRule="auto" w:line="276"/>
              <w:jc w:val="left"/>
            </w:pPr>
            <w:r>
              <w:rPr>
                <w:rFonts w:ascii="Times New Roman" w:hAnsi="Times New Roman" w:cs="Times New Roman" w:eastAsia="Times New Roman"/>
                <w:b w:val="false"/>
                <w:sz w:val="26"/>
              </w:rPr>
              <w:t>05-12-2011</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01/2012/TT-BNG</w:t>
            </w:r>
          </w:p>
        </w:tc>
        <w:tc>
          <w:p/>
          <w:p>
            <w:pPr>
              <w:spacing w:after="0" w:before="0" w:lineRule="auto" w:line="276"/>
              <w:jc w:val="left"/>
            </w:pPr>
            <w:r>
              <w:rPr>
                <w:rFonts w:ascii="Times New Roman" w:hAnsi="Times New Roman" w:cs="Times New Roman" w:eastAsia="Times New Roman"/>
                <w:b w:val="false"/>
                <w:sz w:val="26"/>
              </w:rPr>
              <w:t>Thông tư 01/2012/TT-BNG</w:t>
            </w:r>
          </w:p>
        </w:tc>
        <w:tc>
          <w:p/>
          <w:p>
            <w:pPr>
              <w:spacing w:after="0" w:before="0" w:lineRule="auto" w:line="276"/>
              <w:jc w:val="left"/>
            </w:pPr>
            <w:r>
              <w:rPr>
                <w:rFonts w:ascii="Times New Roman" w:hAnsi="Times New Roman" w:cs="Times New Roman" w:eastAsia="Times New Roman"/>
                <w:b w:val="false"/>
                <w:sz w:val="26"/>
              </w:rPr>
              <w:t>20-03-2012</w:t>
            </w:r>
          </w:p>
        </w:tc>
        <w:tc>
          <w:p/>
          <w:p>
            <w:pPr>
              <w:spacing w:after="0" w:before="0" w:lineRule="auto" w:line="276"/>
              <w:jc w:val="left"/>
            </w:pPr>
            <w:r>
              <w:rPr>
                <w:rFonts w:ascii="Times New Roman" w:hAnsi="Times New Roman" w:cs="Times New Roman" w:eastAsia="Times New Roman"/>
                <w:b w:val="false"/>
                <w:sz w:val="26"/>
              </w:rPr>
              <w:t>Bộ Ngoại giao</w:t>
            </w:r>
          </w:p>
        </w:tc>
      </w:tr>
      <w:tr>
        <w:tc>
          <w:p/>
          <w:p>
            <w:pPr>
              <w:spacing w:after="0" w:before="0" w:lineRule="auto" w:line="276"/>
              <w:jc w:val="left"/>
            </w:pPr>
            <w:r>
              <w:rPr>
                <w:rFonts w:ascii="Times New Roman" w:hAnsi="Times New Roman" w:cs="Times New Roman" w:eastAsia="Times New Roman"/>
                <w:b w:val="false"/>
                <w:sz w:val="26"/>
              </w:rPr>
              <w:t>33/2009/QH12</w:t>
            </w:r>
          </w:p>
        </w:tc>
        <w:tc>
          <w:p/>
          <w:p>
            <w:pPr>
              <w:spacing w:after="0" w:before="0" w:lineRule="auto" w:line="276"/>
              <w:jc w:val="left"/>
            </w:pPr>
            <w:r>
              <w:rPr>
                <w:rFonts w:ascii="Times New Roman" w:hAnsi="Times New Roman" w:cs="Times New Roman" w:eastAsia="Times New Roman"/>
                <w:b w:val="false"/>
                <w:sz w:val="26"/>
              </w:rPr>
              <w:t>Luật 33/2009/QH12</w:t>
            </w:r>
          </w:p>
        </w:tc>
        <w:tc>
          <w:p/>
          <w:p>
            <w:pPr>
              <w:spacing w:after="0" w:before="0" w:lineRule="auto" w:line="276"/>
              <w:jc w:val="left"/>
            </w:pPr>
            <w:r>
              <w:rPr>
                <w:rFonts w:ascii="Times New Roman" w:hAnsi="Times New Roman" w:cs="Times New Roman" w:eastAsia="Times New Roman"/>
                <w:b w:val="false"/>
                <w:sz w:val="26"/>
              </w:rPr>
              <w:t>18-06-2009</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264/2016/TT-BTC</w:t>
            </w:r>
          </w:p>
        </w:tc>
        <w:tc>
          <w:p/>
          <w:p>
            <w:pPr>
              <w:spacing w:after="0" w:before="0" w:lineRule="auto" w:line="276"/>
              <w:jc w:val="left"/>
            </w:pPr>
            <w:r>
              <w:rPr>
                <w:rFonts w:ascii="Times New Roman" w:hAnsi="Times New Roman" w:cs="Times New Roman" w:eastAsia="Times New Roman"/>
                <w:b w:val="false"/>
                <w:sz w:val="26"/>
              </w:rPr>
              <w:t>Thông tư 264/2016/TT-BTC</w:t>
            </w:r>
          </w:p>
        </w:tc>
        <w:tc>
          <w:p/>
          <w:p>
            <w:pPr>
              <w:spacing w:after="0" w:before="0" w:lineRule="auto" w:line="276"/>
              <w:jc w:val="left"/>
            </w:pPr>
            <w:r>
              <w:rPr>
                <w:rFonts w:ascii="Times New Roman" w:hAnsi="Times New Roman" w:cs="Times New Roman" w:eastAsia="Times New Roman"/>
                <w:b w:val="false"/>
                <w:sz w:val="26"/>
              </w:rPr>
              <w:t>14-11-2016</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196/2025/NĐ-CP</w:t>
            </w:r>
          </w:p>
        </w:tc>
        <w:tc>
          <w:p/>
          <w:p>
            <w:pPr>
              <w:spacing w:after="0" w:before="0" w:lineRule="auto" w:line="276"/>
              <w:jc w:val="left"/>
            </w:pPr>
            <w:r>
              <w:rPr>
                <w:rFonts w:ascii="Times New Roman" w:hAnsi="Times New Roman" w:cs="Times New Roman" w:eastAsia="Times New Roman"/>
                <w:b w:val="false"/>
                <w:sz w:val="26"/>
              </w:rPr>
              <w:t>Nghị định số 196/2025/NĐ-CP của Chính phủ: Sửa đổi, bổ sung một số điều của Nghị định số 111/2011/NĐ-CP ngày 05 tháng 12 năm 2011 của Chính phủ về chứng nhận lãnh sự, hợp pháp hóa lãnh sự</w:t>
            </w:r>
          </w:p>
        </w:tc>
        <w:tc>
          <w:p/>
          <w:p>
            <w:pPr>
              <w:spacing w:after="0" w:before="0" w:lineRule="auto" w:line="276"/>
              <w:jc w:val="left"/>
            </w:pPr>
            <w:r>
              <w:rPr>
                <w:rFonts w:ascii="Times New Roman" w:hAnsi="Times New Roman" w:cs="Times New Roman" w:eastAsia="Times New Roman"/>
                <w:b w:val="false"/>
                <w:sz w:val="26"/>
              </w:rPr>
              <w:t>04-07-2025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11/2025/TT-BNG</w:t>
            </w:r>
          </w:p>
        </w:tc>
        <w:tc>
          <w:p/>
          <w:p>
            <w:pPr>
              <w:spacing w:after="0" w:before="0" w:lineRule="auto" w:line="276"/>
              <w:jc w:val="left"/>
            </w:pPr>
            <w:r>
              <w:rPr>
                <w:rFonts w:ascii="Times New Roman" w:hAnsi="Times New Roman" w:cs="Times New Roman" w:eastAsia="Times New Roman"/>
                <w:b w:val="false"/>
                <w:sz w:val="26"/>
              </w:rPr>
              <w:t>Thông tư số 11/2025/TT-BNG của Bộ Ngoại giao: Về biểu mẫu giấy tờ và hướng dẫn chi tiết một số quy định về chứng nhận lãnh sự; hợp pháp hóa lãnh sự</w:t>
            </w:r>
          </w:p>
        </w:tc>
        <w:tc>
          <w:p/>
          <w:p>
            <w:pPr>
              <w:spacing w:after="0" w:before="0" w:lineRule="auto" w:line="276"/>
              <w:jc w:val="left"/>
            </w:pPr>
            <w:r>
              <w:rPr>
                <w:rFonts w:ascii="Times New Roman" w:hAnsi="Times New Roman" w:cs="Times New Roman" w:eastAsia="Times New Roman"/>
                <w:b w:val="false"/>
                <w:sz w:val="26"/>
              </w:rPr>
              <w:t>31-07-2025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10.1. Các giấy tờ, tài liệu được miễn chứng nhận lãnh sự, hợp pháp hóa lãnh sự:
- Giấy tờ, tài liệu được miễn chứng nhận lãnh sự, hợp pháp hóa lãnh sự theo điều ước quốc tế mà Việt Nam và nước ngoài liên quan đều là thành viên, hoặc theo nguyên tắc có đi có lại.
- Giấy tờ, tài liệu được chuyển giao trực tiếp hoặc qua đường ngoại giao giữa cơ quan có thẩm quyền của Việt Nam và cơ quan có thẩm quyền của nước ngoài.
- Giấy tờ, tài liệu được miễn chứng nhận lãnh sự, hợp pháp hóa lãnh sự theo quy định của pháp luật Việt Nam.
- Giấy tờ, tài liệu mà cơ quan tiếp nhận của Việt Nam hoặc của nước ngoài không yêu cầu phải hợp pháp hóa lãnh sự, chứng nhận lãnh sự phù hợp với quy định pháp luật tương ứng của Việt Nam hoặc của nước ngoài.
10.2. Các giấy tờ, tài liệu không được chứng nhận lãnh sự, hợp pháp hóa lãnh sự:
- Giấy tờ, tài liệu bị sửa chữa, tẩy xóa nhưng không được đính chính theo quy định pháp luật.
- Giấy tờ, tài liệu trong hồ sơ đề nghị chứng nhận lãnh sự, hợp pháp hóa lãnh sự có các chi tiết trong bản thân giấy tờ, tài liệu đó mâu thuẫn với nhau hoặc mâu thuẫn với giấy tờ, tài liệu khác trong hồ sơ đề nghị chứng nhận lãnh sự, hợp pháp hóa lãnh sự. 
- Giấy tờ, tài liệu giả mạo hoặc được cấp, chứng nhận sai thẩm quyền theo quy định pháp luật.
- Giấy tờ, tài liệu đồng thời có con dấu và chữ ký không được đóng trực tiếp và ký trực tiếp trên giấy tờ, tài liệu. Con dấu, chữ ký sao chụp dưới mọi hình thức đều không được coi là con dấu gốc, chữ ký gốc.
- Giấy tờ, tài liệu có nội dung vi phạm quyền và lợi ích của Nhà nước Việt Nam, không phù hợp với chủ trương, chính sách của Nhà nước Việt Nam hoặc các trường hợp khác có thể gây bất lợi cho Nhà nước Việt Nam.
10.3. Yêu cầu cụ thể đối với các giấy tờ, tài liệu đề nghị chứng nhận lãnh sự: 
- Là giấy tờ, tài liệu của Việt Nam để được công nhận và sử dụng ở nước ngoài.
- Đã được Bộ Ngoại giao Việt Nam chứng nhận.
10.4. Yêu cầu cụ thể đối với giấy tờ, tài liệu đề nghị hợp pháp hóa lãnh sự: 
- Là giấy tờ, tài liệu của nước ngoài để được công nhận và sử dụng ở Việt Nam.
- Giấy tờ, tài liệu đề nghị được hợp pháp hóa lãnh sự (đã được Bộ Ngoại giao nước sở tại, cơ quan khác của nước ngoài được ủy quyền chứng nhận).
- Mẫu con dấu, mẫu chữ ký và chức danh của các cơ quan và người có thẩm quyền của nước ngoài phải được giới thiệu trước cho Cơ quan đại diện Việt Nam.</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https://thutuc.dichvucong.gov.vn/p/home/dvc-tthc-thu-tuc-hanh-chinh-chi-tiet.html?ma_thu_tuc=1254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2025-11-27T16:27:51Z</dcterms:created>
  <dc:creator>Apache POI</dc:creator>
</cp:coreProperties>
</file>