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 /QĐ-BTP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thực hiện hỗ trợ khi hòa giải viên gặp tai nạn hoặc rủi ro ảnh hưởng đến sức khỏe, tính mạng trong khi thực hiện hoạt động hòa giải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Hòa giải ở cơ sở</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trường hợp hòa giải viên gặp tai nạn hoặc rủi ro ảnh hưởng đến sức khỏe, tính mạng trong khi thực hiện hoạt động hòa giải ở cơ sở, hòa giải viên hoặc đại diện gia đình hòa giải viên (trong trường hợp hòa giải viên bị thiệt hại về tính mạng) nộp hồ sơ đề nghị hỗ trợ trực tiếp hoặc qua dịch vụ bưu chính đến Ủy ban nhân dân cấp xã nơi đã ra quyết định công nhận hòa giải viên hoặc nộp trực tuyến trên Cổng dịch vụ công quốc gia. 
- Trong thời hạn 07 ngày làm việc, Ủy ban nhân dân cấp xã nơi đã ra quyết định công nhận hòa giải viên xem xét, ra quyết định hỗ trợ và thực hiện việc chi tiền hỗ trợ cho hòa giải viên gặp tai nạn hoặc rủi ro ảnh hưởng đến tính mạng, sức khỏe trong khi thực hiện hoạt động hòa giải.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hỗ trợ của hòa giải viên hoặc gia đình hòa giải viên trong trường hợp hòa giải viên bị thiệt hại về tính mạng có xác nhận của tổ trưởng tổ hòa giải hoặc Trưởng ban công tác Mặt trận trong trường hợp hòa giải viên bị thiệt hại là tổ trưởng tổ hòa giải. Giấy đề nghị hỗ trợ phải ghi rõ họ tên, địa chỉ của người yêu cầu hỗ trợ; lý do yêu cầu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hoặc bản sao kèm theo bản chính để đối chiếu hoặc bản sao điện tử Biên bản xác nhận tình trạng của hòa giải viên bị tai nạn có xác nhận của Ủy ban nhân dân cấp xã nơi xảy ra tai nạn hoặc cơ quan công an nơi xảy ra tai nạn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hoặc bản sao kèm theo bản chính để đối chiếu hoặc bản sao điện tử Giấy ra viện, hóa đơn thanh toán chi phí khám bệnh,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hoặc bản sao kèm theo bản chính để đối chiếu hoặc bản sao điện tử văn bản, giấy tờ hợp lệ về thu nhập thực tế theo tiền lương, tiền công hằng tháng của người bị tai nạn có xác nhận của tổ chức hoặc cá nhân sử dụng lao động để cơ quan nhà nước có thẩm quyền xác định thu nhập thực tế bị mất hoặc giảm sút, bao gồm: Hợp đồng lao động, quyết định nâng lương của tổ chức hoặc cá nhân sử dụng lao động hoặc bản kê có thu nhập thực tế của hòa giải viên bị tai nạn và các giấy tờ chứng minh thu nhập thực tế hợp pháp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hoặc bản sao kèm theo bản chính để đối chiếu hoặc bản sao điện tử Giấy chứng tử trong trường hợp hòa giải viên bị thiệt hại về tính mạng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hỗ trợ hòa giải viên gặp tai nạn hoặc rủi ro ảnh hưởng đến sức khỏe, tính mạng trong khi thực hiện hoạt động hòa giải, Văn bản trả lời trong trường hợp không hỗ trợ hòa giải viên gặp tai nạn hoặc rủi ro ảnh hưởng đến sức khỏe, tính mạng trong khi thực hiện hoạt động hòa giải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15/2014/NĐ-CP</w:t>
            </w:r>
          </w:p>
        </w:tc>
        <w:tc>
          <w:p/>
          <w:p>
            <w:pPr>
              <w:spacing w:after="0" w:before="0" w:lineRule="auto" w:line="276"/>
              <w:jc w:val="left"/>
            </w:pPr>
            <w:r>
              <w:rPr>
                <w:rFonts w:ascii="Times New Roman" w:hAnsi="Times New Roman" w:cs="Times New Roman" w:eastAsia="Times New Roman"/>
                <w:b w:val="false"/>
                <w:sz w:val="26"/>
              </w:rPr>
              <w:t>Nghị định 15/2014/NĐ-CP</w:t>
            </w:r>
          </w:p>
        </w:tc>
        <w:tc>
          <w:p/>
          <w:p>
            <w:pPr>
              <w:spacing w:after="0" w:before="0" w:lineRule="auto" w:line="276"/>
              <w:jc w:val="left"/>
            </w:pPr>
            <w:r>
              <w:rPr>
                <w:rFonts w:ascii="Times New Roman" w:hAnsi="Times New Roman" w:cs="Times New Roman" w:eastAsia="Times New Roman"/>
                <w:b w:val="false"/>
                <w:sz w:val="26"/>
              </w:rPr>
              <w:t>27-02-2014</w:t>
            </w:r>
          </w:p>
        </w:tc>
        <w:tc>
          <w:p/>
        </w:tc>
      </w:tr>
      <w:tr>
        <w:tc>
          <w:p/>
          <w:p>
            <w:pPr>
              <w:spacing w:after="0" w:before="0" w:lineRule="auto" w:line="276"/>
              <w:jc w:val="left"/>
            </w:pPr>
            <w:r>
              <w:rPr>
                <w:rFonts w:ascii="Times New Roman" w:hAnsi="Times New Roman" w:cs="Times New Roman" w:eastAsia="Times New Roman"/>
                <w:b w:val="false"/>
                <w:sz w:val="26"/>
              </w:rPr>
              <w:t>35/2013/QH13</w:t>
            </w:r>
          </w:p>
        </w:tc>
        <w:tc>
          <w:p/>
          <w:p>
            <w:pPr>
              <w:spacing w:after="0" w:before="0" w:lineRule="auto" w:line="276"/>
              <w:jc w:val="left"/>
            </w:pPr>
            <w:r>
              <w:rPr>
                <w:rFonts w:ascii="Times New Roman" w:hAnsi="Times New Roman" w:cs="Times New Roman" w:eastAsia="Times New Roman"/>
                <w:b w:val="false"/>
                <w:sz w:val="26"/>
              </w:rPr>
              <w:t>Luật 35/2013/QH13</w:t>
            </w:r>
          </w:p>
        </w:tc>
        <w:tc>
          <w:p/>
          <w:p>
            <w:pPr>
              <w:spacing w:after="0" w:before="0" w:lineRule="auto" w:line="276"/>
              <w:jc w:val="left"/>
            </w:pPr>
            <w:r>
              <w:rPr>
                <w:rFonts w:ascii="Times New Roman" w:hAnsi="Times New Roman" w:cs="Times New Roman" w:eastAsia="Times New Roman"/>
                <w:b w:val="false"/>
                <w:sz w:val="26"/>
              </w:rPr>
              <w:t>20-06-2013</w:t>
            </w:r>
          </w:p>
        </w:tc>
        <w:tc>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09/2025/TT-BTP</w:t>
            </w:r>
          </w:p>
        </w:tc>
        <w:tc>
          <w:p/>
          <w:p>
            <w:pPr>
              <w:spacing w:after="0" w:before="0" w:lineRule="auto" w:line="276"/>
              <w:jc w:val="left"/>
            </w:pPr>
            <w:r>
              <w:rPr>
                <w:rFonts w:ascii="Times New Roman" w:hAnsi="Times New Roman" w:cs="Times New Roman" w:eastAsia="Times New Roman"/>
                <w:b w:val="false"/>
                <w:sz w:val="26"/>
              </w:rPr>
              <w:t>Thông tư số 09/2025/TT-BTP ngày 16/6/2025 của Bộ trưởng Bộ Tư pháp hướng dẫn chức năng, nhiệm vụ, quyền hạn của Sở Tư pháp thuộc Uỷ ban nhân dân tỉnh, thành phố trực thuộc trung ương và chức năng, nhiệm vụ, quyền hạn của Văn phòng Hội đồng nhân dân và Uỷ ban nhân dân thuộc Uỷ ban nhân dân xã, phường, đặc khu trong lĩnh vực tư pháp</w:t>
            </w:r>
          </w:p>
        </w:tc>
        <w:tc>
          <w:p/>
          <w:p>
            <w:pPr>
              <w:spacing w:after="0" w:before="0" w:lineRule="auto" w:line="276"/>
              <w:jc w:val="left"/>
            </w:pPr>
            <w:r>
              <w:rPr>
                <w:rFonts w:ascii="Times New Roman" w:hAnsi="Times New Roman" w:cs="Times New Roman" w:eastAsia="Times New Roman"/>
                <w:b w:val="false"/>
                <w:sz w:val="26"/>
              </w:rPr>
              <w:t>16-06-2025</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Hòa giải viên gặp tai nạn hoặc rủi ro ảnh hưởng đến sức khỏe, tính mạng trong khi thực hiện hoạt động hòa giải ở cơ sở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2025-11-27T16:28:27Z</dcterms:created>
  <dc:creator>Apache POI</dc:creator>
</cp:coreProperties>
</file>