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hộ nghèo, hộ cận nghèo, hộ mới thoát nghèo bị rủi ro do nguyên nhân khách quan vay bổ sung vốn để khôi phục sản xuất,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NHCSXH nơi thực hiện thủ tục
Lập Danh sách khách hàng (vay vốn chương trình hộ nghèo hoặc hộ cận nghèo hoặc hộ mới thoát nghèo) bị rủi ro do nguyên nhân khách quan được xem xét cho vay bổ sung vốn để khôi phục sản xuất, kinh doanh trình Chủ tịch Ủy ban nhân dân (UBND) cấp huyện phê duyệt (sau đây gọi là Danh sách cho vay bổ sung vốn).</w:t>
      </w:r>
    </w:p>
    <w:p>
      <w:pPr>
        <w:spacing w:after="0" w:before="0" w:lineRule="auto" w:line="276"/>
        <w:jc w:val="both"/>
      </w:pPr>
      <w:r>
        <w:rPr>
          <w:rFonts w:ascii="Times New Roman" w:hAnsi="Times New Roman" w:cs="Times New Roman" w:eastAsia="Times New Roman"/>
          <w:b w:val="false"/>
          <w:sz w:val="26"/>
        </w:rPr>
        <w:t>Bước 2.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Viết Giấy đề nghị vay vốn kiêm phương án sử dụng vốn vay (mẫu số 01/TD) và gửi kèm Sổ vay vốn người vay lưu giữ cho Ban quản lý Tổ TK&amp;VV.</w:t>
      </w:r>
    </w:p>
    <w:p>
      <w:pPr>
        <w:spacing w:after="0" w:before="0" w:lineRule="auto" w:line="276"/>
        <w:jc w:val="both"/>
      </w:pPr>
      <w:r>
        <w:rPr>
          <w:rFonts w:ascii="Times New Roman" w:hAnsi="Times New Roman" w:cs="Times New Roman" w:eastAsia="Times New Roman"/>
          <w:b w:val="false"/>
          <w:sz w:val="26"/>
        </w:rPr>
        <w:t>Bước 3. Ban quản lý Tổ TK&amp;VV
- Tổ chức họp Tổ TK&amp;VV để  bình xét cho vay công khai theo Biên bản họp (mẫu số 10C/TD);
- Lập Danh sách tổ viên đề nghị vay vốn NHCSXH (mẫu số 03/TD) kèm Giấy đề nghị vay vốn kiêm phương án sử dụng vốn vay (mẫu số 01/TD) của các tổ viên Tổ TK&amp;VV trình UBND cấp xã xác nhận là hộ nghèo, hoặc hộ cận nghèo, hoặc hộ mới thoát nghèo trên Danh sách tổ viên đề nghị vay vốn NHCSXH (mẫu số 03/TD).
- Gửi hồ sơ vay vốn tới NHCSXH nơi thực hiện thủ tục sau khi có xác nhận của UBND cấp xã.</w:t>
      </w:r>
    </w:p>
    <w:p>
      <w:pPr>
        <w:spacing w:after="0" w:before="0" w:lineRule="auto" w:line="276"/>
        <w:jc w:val="both"/>
      </w:pPr>
      <w:r>
        <w:rPr>
          <w:rFonts w:ascii="Times New Roman" w:hAnsi="Times New Roman" w:cs="Times New Roman" w:eastAsia="Times New Roman"/>
          <w:b w:val="false"/>
          <w:sz w:val="26"/>
        </w:rPr>
        <w:t>Bước 4. NHCSXH nơi thực hiện thủ tục
- Xem xét, phê duyệt cho vay sau khi đã nhận đủ hồ sơ từ Ban quản lý Tổ TK&amp;VV;
- Gửi Thông báo kết quả phê duyệt cho vay (mẫu số 04/TD) tới UBND cấp xã để thông báo đến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sử dụng vốn vay (mẫu số 01/TD) và Sổ vay vốn trực tiếp tới Ban quản lý Tổ TK&amp;VV nơi người vay cư trú hợp pháp. 
Trong thời hạn không quá 03 (ba) ngày làm việc kể từ ngày NHCSXH nơi thực hiện thủ tục nhận được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vay vốn kiêm phương án sử dụng vốn vay (mẫu số 01/TD):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01-TD-720 ngày 29.3.2011 (Lãi suất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viên đề nghị vay vốn NHCSXH (mẫu số 03/TD): 02 bản chính (Tổ TK&amp;VV lưu 01 bản, NHCSXH nơi thực hiện thủ tục lưu 01 bản); 02 bản sao (Tổ chức chính trị - xã hội nhận ủy thác lưu 01 bản, NHCSXH nơi thực hiện thủ tục lưu 01 bản);</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Sổ vay vốn: 01 bản chính (bản người vay lưu giữ).</w:t>
            </w:r>
          </w:p>
        </w:tc>
        <w:tc>
          <w:p/>
          <w:p>
            <w:pPr>
              <w:spacing w:after="0" w:before="0" w:lineRule="auto" w:line="276"/>
              <w:jc w:val="left"/>
            </w:pPr>
            <w:r>
              <w:rPr>
                <w:rFonts w:ascii="Times New Roman" w:hAnsi="Times New Roman" w:cs="Times New Roman" w:eastAsia="Times New Roman"/>
                <w:b w:val="false"/>
                <w:sz w:val="26"/>
              </w:rPr>
              <w:t>SVAYVNSVB.5589ngy29.12.2017.doc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khách hàng vay vốn bị rủi ro do nguyên nhân khách quan được xem xét cho vay bổ sung vốn để khôi phục sản xuất, kinh doanh (mẫu kèm theo Văn bản số 4710/NHCS-TDNN ngày 24/11/2016 của Tổng Giám đốc NHCSXH);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2934/NHCS-TDNN</w:t>
            </w:r>
          </w:p>
        </w:tc>
        <w:tc>
          <w:p/>
          <w:p>
            <w:pPr>
              <w:spacing w:after="0" w:before="0" w:lineRule="auto" w:line="276"/>
              <w:jc w:val="left"/>
            </w:pPr>
            <w:r>
              <w:rPr>
                <w:rFonts w:ascii="Times New Roman" w:hAnsi="Times New Roman" w:cs="Times New Roman" w:eastAsia="Times New Roman"/>
                <w:b w:val="false"/>
                <w:sz w:val="26"/>
              </w:rPr>
              <w:t>	Văn bản số 2934/NHCS-TDNN</w:t>
            </w:r>
          </w:p>
        </w:tc>
        <w:tc>
          <w:p/>
          <w:p>
            <w:pPr>
              <w:spacing w:after="0" w:before="0" w:lineRule="auto" w:line="276"/>
              <w:jc w:val="left"/>
            </w:pPr>
            <w:r>
              <w:rPr>
                <w:rFonts w:ascii="Times New Roman" w:hAnsi="Times New Roman" w:cs="Times New Roman" w:eastAsia="Times New Roman"/>
                <w:b w:val="false"/>
                <w:sz w:val="26"/>
              </w:rPr>
              <w:t>02-12-2011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	Quyết định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316/NHCS-KH</w:t>
            </w:r>
          </w:p>
        </w:tc>
        <w:tc>
          <w:p/>
          <w:p>
            <w:pPr>
              <w:spacing w:after="0" w:before="0" w:lineRule="auto" w:line="276"/>
              <w:jc w:val="left"/>
            </w:pPr>
            <w:r>
              <w:rPr>
                <w:rFonts w:ascii="Times New Roman" w:hAnsi="Times New Roman" w:cs="Times New Roman" w:eastAsia="Times New Roman"/>
                <w:b w:val="false"/>
                <w:sz w:val="26"/>
              </w:rPr>
              <w:t>Văn bản số 316/NHCS-KH</w:t>
            </w:r>
          </w:p>
        </w:tc>
        <w:tc>
          <w:p/>
          <w:p>
            <w:pPr>
              <w:spacing w:after="0" w:before="0" w:lineRule="auto" w:line="276"/>
              <w:jc w:val="left"/>
            </w:pPr>
            <w:r>
              <w:rPr>
                <w:rFonts w:ascii="Times New Roman" w:hAnsi="Times New Roman" w:cs="Times New Roman" w:eastAsia="Times New Roman"/>
                <w:b w:val="false"/>
                <w:sz w:val="26"/>
              </w:rPr>
              <w:t>02-05-2003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28/2015/QĐ-TTg</w:t>
            </w:r>
          </w:p>
        </w:tc>
        <w:tc>
          <w:p/>
          <w:p>
            <w:pPr>
              <w:spacing w:after="0" w:before="0" w:lineRule="auto" w:line="276"/>
              <w:jc w:val="left"/>
            </w:pPr>
            <w:r>
              <w:rPr>
                <w:rFonts w:ascii="Times New Roman" w:hAnsi="Times New Roman" w:cs="Times New Roman" w:eastAsia="Times New Roman"/>
                <w:b w:val="false"/>
                <w:sz w:val="26"/>
              </w:rPr>
              <w:t>Quyết định 28/2015/QĐ-TTg</w:t>
            </w:r>
          </w:p>
        </w:tc>
        <w:tc>
          <w:p/>
          <w:p>
            <w:pPr>
              <w:spacing w:after="0" w:before="0" w:lineRule="auto" w:line="276"/>
              <w:jc w:val="left"/>
            </w:pPr>
            <w:r>
              <w:rPr>
                <w:rFonts w:ascii="Times New Roman" w:hAnsi="Times New Roman" w:cs="Times New Roman" w:eastAsia="Times New Roman"/>
                <w:b w:val="false"/>
                <w:sz w:val="26"/>
              </w:rPr>
              <w:t>21-07-2015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2859/NHCS-TDNN</w:t>
            </w:r>
          </w:p>
        </w:tc>
        <w:tc>
          <w:p/>
          <w:p>
            <w:pPr>
              <w:spacing w:after="0" w:before="0" w:lineRule="auto" w:line="276"/>
              <w:jc w:val="left"/>
            </w:pPr>
            <w:r>
              <w:rPr>
                <w:rFonts w:ascii="Times New Roman" w:hAnsi="Times New Roman" w:cs="Times New Roman" w:eastAsia="Times New Roman"/>
                <w:b w:val="false"/>
                <w:sz w:val="26"/>
              </w:rPr>
              <w:t>Văn bản số 2859/NHCS-TDNN</w:t>
            </w:r>
          </w:p>
        </w:tc>
        <w:tc>
          <w:p/>
          <w:p>
            <w:pPr>
              <w:spacing w:after="0" w:before="0" w:lineRule="auto" w:line="276"/>
              <w:jc w:val="left"/>
            </w:pPr>
            <w:r>
              <w:rPr>
                <w:rFonts w:ascii="Times New Roman" w:hAnsi="Times New Roman" w:cs="Times New Roman" w:eastAsia="Times New Roman"/>
                <w:b w:val="false"/>
                <w:sz w:val="26"/>
              </w:rPr>
              <w:t>13-08-2015</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15/2013/QĐ-TTg</w:t>
            </w:r>
          </w:p>
        </w:tc>
        <w:tc>
          <w:p/>
          <w:p>
            <w:pPr>
              <w:spacing w:after="0" w:before="0" w:lineRule="auto" w:line="276"/>
              <w:jc w:val="left"/>
            </w:pPr>
            <w:r>
              <w:rPr>
                <w:rFonts w:ascii="Times New Roman" w:hAnsi="Times New Roman" w:cs="Times New Roman" w:eastAsia="Times New Roman"/>
                <w:b w:val="false"/>
                <w:sz w:val="26"/>
              </w:rPr>
              <w:t>Quyết định 15/2013/QĐ-TTg</w:t>
            </w:r>
          </w:p>
        </w:tc>
        <w:tc>
          <w:p/>
          <w:p>
            <w:pPr>
              <w:spacing w:after="0" w:before="0" w:lineRule="auto" w:line="276"/>
              <w:jc w:val="left"/>
            </w:pPr>
            <w:r>
              <w:rPr>
                <w:rFonts w:ascii="Times New Roman" w:hAnsi="Times New Roman" w:cs="Times New Roman" w:eastAsia="Times New Roman"/>
                <w:b w:val="false"/>
                <w:sz w:val="26"/>
              </w:rPr>
              <w:t>23-02-2013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1003/NHCS-TDNN</w:t>
            </w:r>
          </w:p>
        </w:tc>
        <w:tc>
          <w:p/>
          <w:p>
            <w:pPr>
              <w:spacing w:after="0" w:before="0" w:lineRule="auto" w:line="276"/>
              <w:jc w:val="left"/>
            </w:pPr>
            <w:r>
              <w:rPr>
                <w:rFonts w:ascii="Times New Roman" w:hAnsi="Times New Roman" w:cs="Times New Roman" w:eastAsia="Times New Roman"/>
                <w:b w:val="false"/>
                <w:sz w:val="26"/>
              </w:rPr>
              <w:t>Văn bản số 1003/NHCS-TDNN</w:t>
            </w:r>
          </w:p>
        </w:tc>
        <w:tc>
          <w:p/>
          <w:p>
            <w:pPr>
              <w:spacing w:after="0" w:before="0" w:lineRule="auto" w:line="276"/>
              <w:jc w:val="left"/>
            </w:pPr>
            <w:r>
              <w:rPr>
                <w:rFonts w:ascii="Times New Roman" w:hAnsi="Times New Roman" w:cs="Times New Roman" w:eastAsia="Times New Roman"/>
                <w:b w:val="false"/>
                <w:sz w:val="26"/>
              </w:rPr>
              <w:t>23-04-2013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Văn bản 5650/NHCS-TDNN</w:t>
            </w:r>
          </w:p>
        </w:tc>
        <w:tc>
          <w:p/>
          <w:p>
            <w:pPr>
              <w:spacing w:after="0" w:before="0" w:lineRule="auto" w:line="276"/>
              <w:jc w:val="left"/>
            </w:pPr>
            <w:r>
              <w:rPr>
                <w:rFonts w:ascii="Times New Roman" w:hAnsi="Times New Roman" w:cs="Times New Roman" w:eastAsia="Times New Roman"/>
                <w:b w:val="false"/>
                <w:sz w:val="26"/>
              </w:rPr>
              <w:t>04-11-2016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4710/NHCS-TDNN</w:t>
            </w:r>
          </w:p>
        </w:tc>
        <w:tc>
          <w:p/>
          <w:p>
            <w:pPr>
              <w:spacing w:after="0" w:before="0" w:lineRule="auto" w:line="276"/>
              <w:jc w:val="left"/>
            </w:pPr>
            <w:r>
              <w:rPr>
                <w:rFonts w:ascii="Times New Roman" w:hAnsi="Times New Roman" w:cs="Times New Roman" w:eastAsia="Times New Roman"/>
                <w:b w:val="false"/>
                <w:sz w:val="26"/>
              </w:rPr>
              <w:t>Công văn số 4710/NHCS-TDNN</w:t>
            </w:r>
          </w:p>
        </w:tc>
        <w:tc>
          <w:p/>
          <w:p>
            <w:pPr>
              <w:spacing w:after="0" w:before="0" w:lineRule="auto" w:line="276"/>
              <w:jc w:val="left"/>
            </w:pPr>
            <w:r>
              <w:rPr>
                <w:rFonts w:ascii="Times New Roman" w:hAnsi="Times New Roman" w:cs="Times New Roman" w:eastAsia="Times New Roman"/>
                <w:b w:val="false"/>
                <w:sz w:val="26"/>
              </w:rPr>
              <w:t>24-11-2016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là tổ viên Tổ TK&amp;VV, hiện đang vay vốn tại NHCSXH nơi thực hiện thủ tục và có tên trong Danh sách cho vay bổ sung vốn đã được UBND cấp huyện phê duyệt;
- Người vay là hộ nghèo hoặc hộ cận nghèo hoặc hộ mới thoát nghèo được UBND cấp xã xác nhận trên Danh sách tổ viên đề nghị vay vốn NHCSXH (mẫu số 03/TD);
- Người vay cư trú hợp pháp tại địa phương.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2025-11-27T16:28:53Z</dcterms:created>
  <dc:creator>Apache POI</dc:creator>
</cp:coreProperties>
</file>