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2.000438</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2871/QĐ-NHNN</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cấp Giấy phép thành lập và hoạt động tổ chức tín dụng phi ngân hàng sau khi chấp thuận nguyên tắc.</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Thành lập và hoạt động ngân hàng</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Bước 1: Trong thời hạn 60 ngày kể từ ngày nhận được văn bản chấp thuận nguyên tắc thành lập tổ chức tín dụng phi ngân hàng, Ban trù bị lập các văn bản bổ sung theo quy định tại khoản 4 Điều 12, khoản 8 Điều 13 Thông tư số 57/2024/TT-NHNN gửi Ngân hàng Nhà nước. Quá thời hạn nêu trên, Ngân hàng Nhà nước không nhận được hoặc nhận được không đầy đủ các văn bản bổ sung thì văn bản chấp thuận nguyên tắc đương nhiên không còn giá trị. 
- Bước 2: Trong thời hạn 05 ngày làm việc kể từ ngày nhận được đầy đủ các văn bản bổ sung, Ngân hàng Nhà nước xác nhận bằng văn bản gửi Ban trù bị về việc đã nhận đầy đủ văn bản bổ sung.
- Bước 3: Trong thời hạn 30 ngày kể từ ngày nhận đầy đủ các văn bản bổ sung, Ngân hàng Nhà nước tiến hành cấp Giấy phép theo quy định. Trường hợp không cấp Giấy phép, Ngân hàng Nhà nước trả lời bằng văn bản gửi Ban trù bị, trong đó nêu rõ lý do không cấp Giấy phép.</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30 Ngày</w:t>
            </w:r>
          </w:p>
        </w:tc>
        <w:tc>
          <w:p/>
          <w:p>
            <w:pPr>
              <w:spacing w:after="0" w:before="0" w:lineRule="auto" w:line="276"/>
              <w:jc w:val="left"/>
            </w:pPr>
            <w:r>
              <w:rPr>
                <w:rFonts w:ascii="Times New Roman" w:hAnsi="Times New Roman" w:cs="Times New Roman" w:eastAsia="Times New Roman"/>
                <w:b w:val="false"/>
                <w:sz w:val="26"/>
              </w:rPr>
              <w:t>Lệ phí : 70.000.000 Đồng</w:t>
              <w:t xml:space="preserve"> ((Từ ngày 01/07/2025 đến hết ngày 31/12/2026, mức lệ phí bằng 50% mức phí nêu trên theo quy định tại Thông tư 64/2025/TT-BTC ngày 30/06/2025 của Bộ trưởng Bộ Tài chính quy định mức thu, miễn một số khoản phí, lệ phí nhằm hỗ trợ cho doanh nghiệp, người dân.))</w:t>
            </w:r>
          </w:p>
        </w:tc>
        <w:tc>
          <w:p/>
          <w:p>
            <w:pPr>
              <w:spacing w:after="0" w:before="0" w:lineRule="auto" w:line="276"/>
              <w:jc w:val="left"/>
            </w:pPr>
            <w:r>
              <w:rPr>
                <w:rFonts w:ascii="Times New Roman" w:hAnsi="Times New Roman" w:cs="Times New Roman" w:eastAsia="Times New Roman"/>
                <w:b w:val="false"/>
                <w:sz w:val="26"/>
              </w:rPr>
              <w:t>kể từ ngày Ngân hàng Nhà nước nhận đủ hồ sơ hợp lệ.</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30 Ngày</w:t>
            </w:r>
          </w:p>
        </w:tc>
        <w:tc>
          <w:p/>
          <w:p>
            <w:pPr>
              <w:spacing w:after="0" w:before="0" w:lineRule="auto" w:line="276"/>
              <w:jc w:val="left"/>
            </w:pPr>
            <w:r>
              <w:rPr>
                <w:rFonts w:ascii="Times New Roman" w:hAnsi="Times New Roman" w:cs="Times New Roman" w:eastAsia="Times New Roman"/>
                <w:b w:val="false"/>
                <w:sz w:val="26"/>
              </w:rPr>
              <w:t>Lệ phí : 70.000.000 Đồng</w:t>
              <w:t xml:space="preserve"> ((Từ ngày 01/07/2025 đến hết ngày 31/12/2026, mức lệ phí bằng 50% mức phí nêu trên theo quy định tại Thông tư 64/2025/TT-BTC ngày 30/06/2025 của Bộ trưởng Bộ Tài chính quy định mức thu, miễn một số khoản phí, lệ phí nhằm hỗ trợ cho doanh nghiệp, người dân.))</w:t>
            </w:r>
          </w:p>
        </w:tc>
        <w:tc>
          <w:p/>
          <w:p>
            <w:pPr>
              <w:spacing w:after="0" w:before="0" w:lineRule="auto" w:line="276"/>
              <w:jc w:val="left"/>
            </w:pPr>
            <w:r>
              <w:rPr>
                <w:rFonts w:ascii="Times New Roman" w:hAnsi="Times New Roman" w:cs="Times New Roman" w:eastAsia="Times New Roman"/>
                <w:b w:val="false"/>
                <w:sz w:val="26"/>
              </w:rPr>
              <w:t>kể từ ngày Ngân hàng Nhà nước nhận đủ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30 Ngày</w:t>
            </w:r>
          </w:p>
        </w:tc>
        <w:tc>
          <w:p/>
          <w:p>
            <w:pPr>
              <w:spacing w:after="0" w:before="0" w:lineRule="auto" w:line="276"/>
              <w:jc w:val="left"/>
            </w:pPr>
            <w:r>
              <w:rPr>
                <w:rFonts w:ascii="Times New Roman" w:hAnsi="Times New Roman" w:cs="Times New Roman" w:eastAsia="Times New Roman"/>
                <w:b w:val="false"/>
                <w:sz w:val="26"/>
              </w:rPr>
              <w:t>Lệ phí : 70.000.000 Đồng</w:t>
              <w:t xml:space="preserve"> ((Từ ngày 01/07/2025 đến hết ngày 31/12/2026, mức lệ phí bằng 50% mức phí nêu trên theo quy định tại Thông tư 64/2025/TT-BTC ngày 30/06/2025 của Bộ trưởng Bộ Tài chính quy định mức thu, miễn một số khoản phí, lệ phí nhằm hỗ trợ cho doanh nghiệp, người dân.))</w:t>
            </w:r>
          </w:p>
        </w:tc>
        <w:tc>
          <w:p/>
          <w:p>
            <w:pPr>
              <w:spacing w:after="0" w:before="0" w:lineRule="auto" w:line="276"/>
              <w:jc w:val="left"/>
            </w:pPr>
            <w:r>
              <w:rPr>
                <w:rFonts w:ascii="Times New Roman" w:hAnsi="Times New Roman" w:cs="Times New Roman" w:eastAsia="Times New Roman"/>
                <w:b w:val="false"/>
                <w:sz w:val="26"/>
              </w:rPr>
              <w:t>kể từ ngày Ngân hàng Nhà nước nhận đủ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Đối với hồ sơ cấp Giấy phép đối với tổ chức tín dụng phi ngân hàng cổ phần, sau khi nhận được văn bản chấp thuận nguyên tắc, Ban trù bị phải nộp bổ sung các văn bản sau:</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a) Điều lệ của tổ chức tín dụng phi ngân hàng đã được Đại hội thành lập thông qua;</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 Biên bản và Nghị quyết của Đại hội thành lập về việc thông qua Điều lệ, bầu các chức danh thành viên Hội đồng quản trị, thành viên Ban kiểm soát, quy định về tổ chức và hoạt động của Hội đồng quản trị, Ban kiểm soát;</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c) Biên bản họp Hội đồng quản trị về việc bầu chức danh Chủ tịch Hội đồng quản trị; Biên bản họp Ban kiểm soát về việc bầu chức danh Trưởng ban kiểm soát;</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d) Quyết định của Hội đồng quản trị về việc bổ nhiệm chức danh Tổng giám đốc (Giám đốc), Phó Tổng giám đốc (Phó giám đốc), Kế toán trưởng;</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đ) Văn bản của một ngân hàng thương mại Việt Nam nơi Ban trù bị mở tài khoản góp vốn xác nhận số tiền góp vốn của các cổ đông góp vốn thành lập;</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e) Văn bản chứng minh quyền sở hữu hoặc quyền sử dụng hợp pháp địa điểm đặt trụ sở chính;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g) Các quy định nội bộ về tổ chức và hoạt động của tổ chức tín dụng phi ngân hàng quy định tại điểm i(ii) khoản 3 Điều 11 Thông tư số 57/2024/TT-NHNN đã được Đại hội thành lập, Hội đồng quản trị thông qua;</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h) Báo cáo của cổ đông sáng lập là ngân hàng thương mại Việt Nam, doanh nghiệp Việt Nam về việc tuân thủ các quy định tại Nghị định của Chính phủ quy định điều kiện cấp Giấy phép đối với quỹ tín dụng nhân dân, tổ chức tài chính vi mô và điều kiện đối với chủ sở hữu của tổ chức tín dụng là công ty trách nhiệm hữu hạn một thành viên, cổ đông sáng lập, thành viên sáng lập từ thời điểm nộp hồ sơ đề nghị cấp Giấy phép đến thời điểm nộp hồ sơ bổ sung đề nghị cấp Giấy phép.</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Đối với hồ sơ cấp Giấy phép đối với tổ chức tín dụng phi ngân hàng trách nhiệm hữu hạn, sau khi nhận được văn bản chấp thuận nguyên tắc, Ban trù bị phải nộp bổ sung các văn bản sau</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a) Điều lệ của tổ chức tín dụng phi ngân hàng đã được Hội đồng thành viên thông qua;</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 Văn bản của một ngân hàng thương mại Việt Nam nơi Ban trù bị mở tài khoản góp vốn xác nhận số tiền góp vốn của chủ sở hữu, các thành viên sáng lập;</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c) Văn bản chứng minh quyền sở hữu hoặc quyền sử dụng hợp pháp địa điểm đặt trụ sở chính;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d) Các quy định nội bộ về tổ chức và hoạt động của tổ chức tín dụng phi ngân hàng quy định tại điểm i(ii) khoản 3 Điều 11 Thông tư số 57/2024/TT-NHNN đã được Hội đồng thành viên thông qua;</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đ) Báo cáo của ngân hàng thương mại Việt Nam, doanh nghiệp Việt Nam hoặc báo cáo của ngân hàng thương mại được chuyển giao bắt buộc thành lập tổ chức tín dụng phi ngân hàng để thực hiện phương án chuyển giao bắt buộc đã được phê duyệt về việc tuân thủ các quy định tại Nghị định của Chính phủ quy định điều kiện cấp Giấy phép đối với quỹ tín dụng nhân dân, tổ chức tài chính vi mô và điều kiện đối với chủ sở hữu của tổ chức tín dụng là công ty trách nhiệm hữu hạn một thành viên, cổ đông sáng lập, thành viên sáng lập từ thời điểm nộp hồ sơ đề nghị cấp Giấy phép đến thời điểm nộp hồ sơ bổ sung đề nghị cấp Giấy phép;</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e) Văn bản của cơ quan có thẩm quyền nước nơi tổ chức tín dụng nước ngoài đặt trụ sở chính đánh giá tổ chức tín dụng nước ngoài tuân thủ các quy định đối với chủ sở hữu, thành viên sáng lập tại Nghị định của Chính phủ quy định điều kiện cấp Giấy phép đối với quỹ tín dụng nhân dân, tổ chức tài chính vi mô và điều kiện đối với chủ sở hữu của tổ chức tín dụng là công ty trách nhiệm hữu hạn một thành viên, cổ đông sáng lập, thành viên sáng lập từ thời điểm nộp hồ sơ đề nghị cấp Giấy phép đến thời điểm nộp hồ sơ bổ sung đề nghị cấp Giấy phép;</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g) Ngoài các thành phần hồ sơ quy định tại điểm a, b, c, d, đ, e khoản 8 Điều 13 Thông tư số 57/2024/TT-NHNN, Ban trù bị thành lập tổ chức tín dụng phi ngân hàng trách nhiệm hữu hạn một thành viên phải nộp bổ sung các văn bản sau đây: (i) Quyết định của chủ sở hữu về việc bổ nhiệm chức danh Chủ tịch Hội đồng thành viên, thành viên Hội đồng thành viên, thành viên Ban kiểm soát, Tổng giám đốc (Giám đốc), Phó Tổng giám đốc (Phó giám đốc), Kế toán trưởng; (ii) Biên bản họp Ban kiểm soát về việc bầu chức danh Trưởng ban kiểm soát;</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h) Ngoài các thành phần hồ sơ quy định tại điểm a, b, c, d, đ, e khoản 8 Điều 13 Thông tư số 57/2024/TT-NHNN, Ban trù bị thành lập tổ chức tín dụng phi ngân hàng trách nhiệm hữu hạn hai thành viên trở lên phải nộp bổ sung các văn bản sau đây: (i) Biên bản và Nghị quyết của Đại hội thành lập về việc thông qua Điều lệ, bầu, bổ nhiệm các chức danh thành viên Hội đồng thành viên, thành viên Ban kiểm soát, quy định về tổ chức và hoạt động của Hội đồng thành viên, Ban kiểm soát; (ii) Biên bản họp Hội đồng thành viên thông qua các nội dung về việc bầu chức danh Chủ tịch Hội đồng thành viên; Biên bản họp Ban kiểm soát về việc bầu chức danh Trưởng ban kiểm soát; (iii) Quyết định của Hội đồng thành viên về việc bổ nhiệm chức danh Tổng giám đốc (Giám đốc), Phó Tổng giám đốc (Phó giám đốc), Kế toán trưởng.</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Ngân hàng Nhà nước Việt Nam</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Bộ phận Một cửa Ngân hàng Nhà nước Việt Nam 49 Lý Thái Tổ, Hoàn Kiếm, Hà Nội</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phép thành lập và hoạt động công ty tài chính</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150/2016/TT-BTC</w:t>
            </w:r>
          </w:p>
        </w:tc>
        <w:tc>
          <w:p/>
          <w:p>
            <w:pPr>
              <w:spacing w:after="0" w:before="0" w:lineRule="auto" w:line="276"/>
              <w:jc w:val="left"/>
            </w:pPr>
            <w:r>
              <w:rPr>
                <w:rFonts w:ascii="Times New Roman" w:hAnsi="Times New Roman" w:cs="Times New Roman" w:eastAsia="Times New Roman"/>
                <w:b w:val="false"/>
                <w:sz w:val="26"/>
              </w:rPr>
              <w:t>Quy định mức thu, chế độ thu, nộp lệ phí cấp giấy phép thành lập và hoạt động của tổ chức tín dụng; giấy phép thành lập chi nhánh ngân hàng nước ngoài, văn phòng đại diện của tổ chức tín dụng nước ngoài, tổ chức nước ngoài khác có hoạt động ngân hàng; giấy phép hoạt động cung ứng dịch vụ trung gian thanh toán cho các tổ chức không phải là ngân hàng</w:t>
            </w:r>
          </w:p>
        </w:tc>
        <w:tc>
          <w:p/>
          <w:p>
            <w:pPr>
              <w:spacing w:after="0" w:before="0" w:lineRule="auto" w:line="276"/>
              <w:jc w:val="left"/>
            </w:pPr>
            <w:r>
              <w:rPr>
                <w:rFonts w:ascii="Times New Roman" w:hAnsi="Times New Roman" w:cs="Times New Roman" w:eastAsia="Times New Roman"/>
                <w:b w:val="false"/>
                <w:sz w:val="26"/>
              </w:rPr>
              <w:t>14-10-2016</w:t>
            </w:r>
          </w:p>
        </w:tc>
        <w:tc>
          <w:p/>
          <w:p>
            <w:pPr>
              <w:spacing w:after="0" w:before="0" w:lineRule="auto" w:line="276"/>
              <w:jc w:val="left"/>
            </w:pPr>
            <w:r>
              <w:rPr>
                <w:rFonts w:ascii="Times New Roman" w:hAnsi="Times New Roman" w:cs="Times New Roman" w:eastAsia="Times New Roman"/>
                <w:b w:val="false"/>
                <w:sz w:val="26"/>
              </w:rPr>
              <w:t>Bộ Tài chính</w:t>
            </w:r>
          </w:p>
        </w:tc>
      </w:tr>
      <w:tr>
        <w:tc>
          <w:p/>
          <w:p>
            <w:pPr>
              <w:spacing w:after="0" w:before="0" w:lineRule="auto" w:line="276"/>
              <w:jc w:val="left"/>
            </w:pPr>
            <w:r>
              <w:rPr>
                <w:rFonts w:ascii="Times New Roman" w:hAnsi="Times New Roman" w:cs="Times New Roman" w:eastAsia="Times New Roman"/>
                <w:b w:val="false"/>
                <w:sz w:val="26"/>
              </w:rPr>
              <w:t>Luật số 32/2024/QH15</w:t>
            </w:r>
          </w:p>
        </w:tc>
        <w:tc>
          <w:p/>
          <w:p>
            <w:pPr>
              <w:spacing w:after="0" w:before="0" w:lineRule="auto" w:line="276"/>
              <w:jc w:val="left"/>
            </w:pPr>
            <w:r>
              <w:rPr>
                <w:rFonts w:ascii="Times New Roman" w:hAnsi="Times New Roman" w:cs="Times New Roman" w:eastAsia="Times New Roman"/>
                <w:b w:val="false"/>
                <w:sz w:val="26"/>
              </w:rPr>
              <w:t>Luật Các tổ chức tín dụng</w:t>
            </w:r>
          </w:p>
        </w:tc>
        <w:tc>
          <w:p/>
          <w:p>
            <w:pPr>
              <w:spacing w:after="0" w:before="0" w:lineRule="auto" w:line="276"/>
              <w:jc w:val="left"/>
            </w:pPr>
            <w:r>
              <w:rPr>
                <w:rFonts w:ascii="Times New Roman" w:hAnsi="Times New Roman" w:cs="Times New Roman" w:eastAsia="Times New Roman"/>
                <w:b w:val="false"/>
                <w:sz w:val="26"/>
              </w:rPr>
              <w:t>18-01-2024</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Thông tư 57/2024/TT-NHNN</w:t>
            </w:r>
          </w:p>
        </w:tc>
        <w:tc>
          <w:p/>
          <w:p>
            <w:pPr>
              <w:spacing w:after="0" w:before="0" w:lineRule="auto" w:line="276"/>
              <w:jc w:val="left"/>
            </w:pPr>
            <w:r>
              <w:rPr>
                <w:rFonts w:ascii="Times New Roman" w:hAnsi="Times New Roman" w:cs="Times New Roman" w:eastAsia="Times New Roman"/>
                <w:b w:val="false"/>
                <w:sz w:val="26"/>
              </w:rPr>
              <w:t>Thông tư quy định hồ sơ, thủ tục cấp Giấy phép lần đầu của tổ chức tín dụng phi ngân hàng.</w:t>
            </w:r>
          </w:p>
        </w:tc>
        <w:tc>
          <w:p/>
          <w:p>
            <w:pPr>
              <w:spacing w:after="0" w:before="0" w:lineRule="auto" w:line="276"/>
              <w:jc w:val="left"/>
            </w:pPr>
            <w:r>
              <w:rPr>
                <w:rFonts w:ascii="Times New Roman" w:hAnsi="Times New Roman" w:cs="Times New Roman" w:eastAsia="Times New Roman"/>
                <w:b w:val="false"/>
                <w:sz w:val="26"/>
              </w:rPr>
              <w:t>24-12-2024</w:t>
            </w:r>
          </w:p>
        </w:tc>
        <w:tc>
          <w:p/>
          <w:p>
            <w:pPr>
              <w:spacing w:after="0" w:before="0" w:lineRule="auto" w:line="276"/>
              <w:jc w:val="left"/>
            </w:pPr>
            <w:r>
              <w:rPr>
                <w:rFonts w:ascii="Times New Roman" w:hAnsi="Times New Roman" w:cs="Times New Roman" w:eastAsia="Times New Roman"/>
                <w:b w:val="false"/>
                <w:sz w:val="26"/>
              </w:rPr>
              <w:t>Ngân hàng Nhà nước Việt Nam</w:t>
            </w:r>
          </w:p>
        </w:tc>
      </w:tr>
      <w:tr>
        <w:tc>
          <w:p/>
          <w:p>
            <w:pPr>
              <w:spacing w:after="0" w:before="0" w:lineRule="auto" w:line="276"/>
              <w:jc w:val="left"/>
            </w:pPr>
            <w:r>
              <w:rPr>
                <w:rFonts w:ascii="Times New Roman" w:hAnsi="Times New Roman" w:cs="Times New Roman" w:eastAsia="Times New Roman"/>
                <w:b w:val="false"/>
                <w:sz w:val="26"/>
              </w:rPr>
              <w:t>Nghị định 162/2024/NĐ-CP</w:t>
            </w:r>
          </w:p>
        </w:tc>
        <w:tc>
          <w:p/>
          <w:p>
            <w:pPr>
              <w:spacing w:after="0" w:before="0" w:lineRule="auto" w:line="276"/>
              <w:jc w:val="left"/>
            </w:pPr>
            <w:r>
              <w:rPr>
                <w:rFonts w:ascii="Times New Roman" w:hAnsi="Times New Roman" w:cs="Times New Roman" w:eastAsia="Times New Roman"/>
                <w:b w:val="false"/>
                <w:sz w:val="26"/>
              </w:rPr>
              <w:t>Nghị định quy định điều kiện cấp Giấy phép đối với quỹ tín dụng nhân dân, tổ chức tài chính vi mô và điều kiện đối với chủ sở hữu của tổ chức tín dụng là công ty trách nhiệm hữu hạn một thành viên, cổ đông sáng lập, thành viên sáng lập.</w:t>
            </w:r>
          </w:p>
        </w:tc>
        <w:tc>
          <w:p/>
          <w:p>
            <w:pPr>
              <w:spacing w:after="0" w:before="0" w:lineRule="auto" w:line="276"/>
              <w:jc w:val="left"/>
            </w:pPr>
            <w:r>
              <w:rPr>
                <w:rFonts w:ascii="Times New Roman" w:hAnsi="Times New Roman" w:cs="Times New Roman" w:eastAsia="Times New Roman"/>
                <w:b w:val="false"/>
                <w:sz w:val="26"/>
              </w:rPr>
              <w:t>20-12-2024</w:t>
            </w:r>
          </w:p>
        </w:tc>
        <w:tc>
          <w:p/>
          <w:p>
            <w:pPr>
              <w:spacing w:after="0" w:before="0" w:lineRule="auto" w:line="276"/>
              <w:jc w:val="left"/>
            </w:pPr>
            <w:r>
              <w:rPr>
                <w:rFonts w:ascii="Times New Roman" w:hAnsi="Times New Roman" w:cs="Times New Roman" w:eastAsia="Times New Roman"/>
                <w:b w:val="false"/>
                <w:sz w:val="26"/>
              </w:rPr>
              <w:t>Ngân hàng Nhà nước Việt Nam</w:t>
            </w:r>
          </w:p>
        </w:tc>
      </w:tr>
      <w:tr>
        <w:tc>
          <w:p/>
          <w:p>
            <w:pPr>
              <w:spacing w:after="0" w:before="0" w:lineRule="auto" w:line="276"/>
              <w:jc w:val="left"/>
            </w:pPr>
            <w:r>
              <w:rPr>
                <w:rFonts w:ascii="Times New Roman" w:hAnsi="Times New Roman" w:cs="Times New Roman" w:eastAsia="Times New Roman"/>
                <w:b w:val="false"/>
                <w:sz w:val="26"/>
              </w:rPr>
              <w:t>64/2025/TT-BTC</w:t>
            </w:r>
          </w:p>
        </w:tc>
        <w:tc>
          <w:p/>
          <w:p>
            <w:pPr>
              <w:spacing w:after="0" w:before="0" w:lineRule="auto" w:line="276"/>
              <w:jc w:val="left"/>
            </w:pPr>
            <w:r>
              <w:rPr>
                <w:rFonts w:ascii="Times New Roman" w:hAnsi="Times New Roman" w:cs="Times New Roman" w:eastAsia="Times New Roman"/>
                <w:b w:val="false"/>
                <w:sz w:val="26"/>
              </w:rPr>
              <w:t>Thông tư quy định mức thu, miễn một số khoản phí, lệ phí nhằm hỗ trợ cho doanh nghiệp, người dân</w:t>
            </w:r>
          </w:p>
        </w:tc>
        <w:tc>
          <w:p/>
          <w:p>
            <w:pPr>
              <w:spacing w:after="0" w:before="0" w:lineRule="auto" w:line="276"/>
              <w:jc w:val="left"/>
            </w:pPr>
            <w:r>
              <w:rPr>
                <w:rFonts w:ascii="Times New Roman" w:hAnsi="Times New Roman" w:cs="Times New Roman" w:eastAsia="Times New Roman"/>
                <w:b w:val="false"/>
                <w:sz w:val="26"/>
              </w:rPr>
              <w:t>30-06-2025</w:t>
            </w:r>
          </w:p>
        </w:tc>
        <w:tc>
          <w:p/>
          <w:p>
            <w:pPr>
              <w:spacing w:after="0" w:before="0" w:lineRule="auto" w:line="276"/>
              <w:jc w:val="left"/>
            </w:pPr>
            <w:r>
              <w:rPr>
                <w:rFonts w:ascii="Times New Roman" w:hAnsi="Times New Roman" w:cs="Times New Roman" w:eastAsia="Times New Roman"/>
                <w:b w:val="false"/>
                <w:sz w:val="26"/>
              </w:rPr>
              <w:t>Bộ Tài chính</w:t>
            </w:r>
          </w:p>
        </w:tc>
      </w:tr>
      <w:tr>
        <w:tc>
          <w:p/>
          <w:p>
            <w:pPr>
              <w:spacing w:after="0" w:before="0" w:lineRule="auto" w:line="276"/>
              <w:jc w:val="left"/>
            </w:pPr>
            <w:r>
              <w:rPr>
                <w:rFonts w:ascii="Times New Roman" w:hAnsi="Times New Roman" w:cs="Times New Roman" w:eastAsia="Times New Roman"/>
                <w:b w:val="false"/>
                <w:sz w:val="26"/>
              </w:rPr>
              <w:t>Thông tư số 12/2025/TT-NHNN</w:t>
            </w:r>
          </w:p>
        </w:tc>
        <w:tc>
          <w:p/>
          <w:p>
            <w:pPr>
              <w:spacing w:after="0" w:before="0" w:lineRule="auto" w:line="276"/>
              <w:jc w:val="left"/>
            </w:pPr>
            <w:r>
              <w:rPr>
                <w:rFonts w:ascii="Times New Roman" w:hAnsi="Times New Roman" w:cs="Times New Roman" w:eastAsia="Times New Roman"/>
                <w:b w:val="false"/>
                <w:sz w:val="26"/>
              </w:rPr>
              <w:t>Thông tư  Sửa đổi, bổ sung một số điều của các Thông tư quy định hồ sơ, thủ tục cấp Giấy phép lần đầu của ngân hàng thương mại, chi nhánh ngân hàng nước ngoài, văn phòng đại diện nước ngoài, tổ chức tín dụng phi ngân hàng</w:t>
            </w:r>
          </w:p>
        </w:tc>
        <w:tc>
          <w:p/>
          <w:p>
            <w:pPr>
              <w:spacing w:after="0" w:before="0" w:lineRule="auto" w:line="276"/>
              <w:jc w:val="left"/>
            </w:pPr>
            <w:r>
              <w:rPr>
                <w:rFonts w:ascii="Times New Roman" w:hAnsi="Times New Roman" w:cs="Times New Roman" w:eastAsia="Times New Roman"/>
                <w:b w:val="false"/>
                <w:sz w:val="26"/>
              </w:rPr>
              <w:t>30-06-2025</w:t>
            </w:r>
          </w:p>
        </w:tc>
        <w:tc>
          <w:p/>
          <w:p>
            <w:pPr>
              <w:spacing w:after="0" w:before="0" w:lineRule="auto" w:line="276"/>
              <w:jc w:val="left"/>
            </w:pPr>
            <w:r>
              <w:rPr>
                <w:rFonts w:ascii="Times New Roman" w:hAnsi="Times New Roman" w:cs="Times New Roman" w:eastAsia="Times New Roman"/>
                <w:b w:val="false"/>
                <w:sz w:val="26"/>
              </w:rPr>
              <w:t>Ngân hàng Nhà nước Việt Nam</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Điều kiện cấp Giấy phép
a) Có vốn điều lệ tối thiểu bằng mức vốn pháp định;
b) Chủ sở hữu của tổ chức tín dụng là công ty trách nhiệm hữu hạn một thành viên, cổ đông sáng lập, thành viên sáng lập là pháp nhân đang hoạt động hợp pháp và có đủ năng lực tài chính để tham gia góp vốn; cổ đông sáng lập, thành viên sáng lập là cá nhân có năng lực hành vi dân sự đầy đủ và có cam kết đủ khả năng tài chính để góp vốn;
c) Người quản lý, người điều hành, thành viên Ban kiểm soát có đủ các tiêu chuẩn, điều kiện quy định tại Điều 41 Luật Các tổ chức tín dụng;
d) Điều lệ phù hợp với quy định của Luật Các tổ chức tín dụng và quy định khác của pháp luật có liên quan;
đ) Đề án thành lập, phương án kinh doanh khả thi, bảo đảm không gây ảnh hưởng đến sự an toàn, ổn định của hệ thống tổ chức tín dụng, không tạo ra sự độc quyền hoặc hạn chế cạnh tranh hoặc cạnh tranh không lành mạnh trong hệ thống tổ chức tín dụng.
- Điều kiện đối với cổ đông sáng lập của tổ chức tín dụng phi ngân hàng
1. Không phải là cổ đông chiến lược, cổ đông sáng lập, chủ sở hữu, thành viên sáng lập của tổ chức tín dụng khác được thành lập và hoạt động tại Việt Nam.
2. Không được dùng vốn huy động, vốn vay của tổ chức, cá nhân khác để góp vốn, không được sử dụng nguồn vốn do phát hành trái phiếu doanh nghiệp để góp vốn.
3. Ngoài các quy định tại khoản 1, 2 Điều 8 Nghị định số 162/2024/NĐ-CP ngày 20/12/2024, cổ đông sáng lập là cá nhân phải tuân thủ các quy định sau đây:
a) Mang quốc tịch Việt Nam, có năng lực hành vi dân sự đầy đủ;
b) Không thuộc những đối tượng bị cấm thành lập doanh nghiệp theo quy định của Luật Doanh nghiệp, Luật Cán bộ, công chức và các quy định khác của pháp luật có liên quan;
c) Không được dùng vốn huy động, vốn vay của tổ chức, cá nhân khác để góp vốn, không được sử dụng nguồn vốn do phát hành trái phiếu doanh nghiệp để góp vốn; không được góp vốn dưới tên của cá nhân, pháp nhân khác dưới mọi hình thức, trừ trường hợp ủy thác góp vốn, mua cổ phần;
d) Là người quản lý doanh nghiệp kinh doanh có lãi trong ít nhất 03 năm liền kề trước năm nộp hồ sơ đề nghị cấp Giấy phép hoặc có bằng đại học, trên đại học chuyên ngành tài chính, ngân hàng, kinh tế, quản trị kinh doanh, luật, kế toán, kiểm toán;
đ) Không bị kết án về tội vi phạm quy định về hoạt động ngân hàng, hoạt động khác liên quan đến hoạt động ngân hàng mà chưa được xóa án tích; không bị xử phạt vi phạm hành chính trong lĩnh vực tiền tệ và ngân hàng đối với hành vi vi phạm quy định về giấy phép, quản trị, điều hành, cổ phần, cổ phiếu, góp vốn, mua cổ phần, mua trái phiếu doanh nghiệp trong vòng 05 năm liên tiếp liền kề trước năm nộp hồ sơ đề nghị cấp Giấy phép và đến thời điểm nộp hồ sơ bổ sung để được xem xét cấp Giấy phép.
4. Ngoài các quy định tại khoản 1, 2 Điều 8 Nghị định số 162/2024/NĐ-CP ngày 20/12/2024, cổ đông sáng lập là tổ chức phải tuân thủ các quy định sau đây:
a) Được thành lập theo pháp luật Việt Nam;
b) Không được dùng vốn huy động, vốn vay của tổ chức, cá nhân khác để góp vốn, không được sử dụng nguồn vốn do phát hành trái phiếu doanh nghiệp để góp vốn; không được góp vốn dưới tên của cá nhân, pháp nhân khác dưới mọi hình thức, trừ trường hợp ủy thác góp vốn, mua cổ phần;
c) Kinh doanh có lãi trong 03 năm liền kề trước năm nộp hồ sơ đề nghị cấp Giấy phép và đến thời điểm nộp hồ sơ bổ sung để được xem xét cấp Giấy phép;
d) Thực hiện đầy đủ các nghĩa vụ về thuế và bảo hiểm xã hội đến thời điểm nộp hồ sơ đề nghị cấp Giấy phép;
đ) Không bị kết án về các tội phạm quy định tại Bộ luật Hình sự trong 02 năm liền kề trước năm nộp hồ sơ đề nghị cấp Giấy phép và đến thời điểm nộp hồ sơ bổ sung để được xem xét cấp Giấy phép;
e) Đối với tổ chức là doanh nghiệp Việt Nam (trừ ngân hàng thương mại Việt Nam):
Có vốn chủ sở hữu tối thiểu 500 tỷ đồng, tổng tài sản tối thiểu 1.000 tỷ đồng trong 03 năm liền kề trước năm nộp hồ sơ đề nghị cấp Giấy phép. Trường hợp doanh nghiệp hoạt động trong ngành nghề kinh doanh có yêu cầu mức vốn pháp định, phải đảm bảo vốn chủ sở hữu theo báo cáo tài chính đã được kiểm toán của năm liền kề trước thời điểm nộp hồ sơ đề nghị cấp Giấy phép trừ đi vốn pháp định tối thiểu bằng số vốn cam kết góp;
Trường hợp doanh nghiệp được cấp Giấy phép thành lập và hoạt động trong lĩnh vực chứng khoán, bảo hiểm, phải tuân thủ việc góp vốn theo các quy định của pháp luật về chứng khoán, bảo hiểm;
g) Đối với ngân hàng thương mại Việt Nam:
Có tổng tài sản tối thiểu 100.000 tỷ đồng, tuân thủ đầy đủ các quy định về quản trị rủi ro và trích lập dự phòng đầy đủ theo quy định tại thời điểm nộp hồ sơ đề nghị cấp Giấy phép và đến thời điểm nộp hồ sơ bổ sung để được xem xét cấp Giấy phép;
Không vi phạm các giới hạn, tỷ lệ bảo đảm an toàn trong hoạt động theo quy định của Ngân hàng Nhà nước trong năm liền kề trước năm nộp hồ sơ đề nghị cấp Giấy phép và đến thời điểm nộp hồ sơ bổ sung để được xem xét cấp Giấy phép;
Đảm bảo tỷ lệ an toàn vốn tối thiểu sau khi góp vốn thành lập tổ chức tín dụng phi ngân hàng;
Không bị xử phạt vi phạm hành chính trong lĩnh vực tiền tệ và hoạt động ngân hàng trong 02 năm liền kề trước năm nộp hồ sơ đề nghị cấp Giấy phép và đến thời điểm nộp hồ sơ đề nghị cấp Giấy phép và đến thời điểm nộp hồ sơ bổ sung để được xem xét cấp Giấy phép.
- Điều kiện đối với chủ sở hữu, thành viên sáng lập của tổ chức tín dụng phi ngân hàng
1. Thành viên sáng lập là doanh nghiệp Việt Nam (trừ ngân hàng thương mại Việt Nam) phải tuân thủ các quy định sau đây:
a) Các quy định tại khoản 1, 2 Điều 8 và các điểm a, b, c, d khoản 4 Điều 8 Nghị định số 162/2024/NĐ-CP;
b) Có vốn chủ sở hữu tối thiểu 1.000 tỷ đồng, tổng tài sản tối thiểu 2.000 tỷ đồng trong 03 năm liền kề trước năm nộp hồ sơ đề nghị cấp Giấy phép. Trường hợp doanh nghiệp hoạt động trong ngành nghề kinh doanh có yêu cầu mức vốn pháp định, phải đảm bảo vốn chủ sở hữu theo báo cáo tài chính đã được kiểm toán của năm liền kề trước thời điểm nộp hồ sơ đề nghị cấp Giấy phép trừ đi vốn pháp định tối thiểu bằng số vốn cam kết góp;
c) Trường hợp doanh nghiệp được cấp Giấy phép thành lập và hoạt động trong lĩnh vực chứng khoán, bảo hiểm, phải tuân thủ việc góp vốn theo các quy định của pháp luật về chứng khoán, bảo hiểm;
d) Không bị kết án về các tội phạm quy định tại Bộ luật Hình sự trong 02 năm liền kề trước năm nộp hồ sơ đề nghị cấp Giấy phép và đến thời điểm nộp hồ sơ bổ sung để được xem xét cấp Giấy phép.
2. Chủ sở hữu, thành viên sáng lập là ngân hàng thương mại Việt Nam (trừ trường hợp chủ sở hữu quy định tại khoản 5 Điều 8 Nghị định số 162/2024/NĐ-CP) phải tuân thủ các quy định tại khoản 1, 2 Điều 8 và các điểm c, d, đ, g khoản 4 Điều 8 Nghị định số 162/2024/NĐ-CP.
3. Chủ sở hữu, thành viên sáng lập là tổ chức tín dụng nước ngoài phải tuân thủ các quy định sau đây:
a) Đáp ứng các điều kiện về tổng tài sản có và tình hình tài chính theo quy định của Ngân hàng Nhà nước;
b) Không vi phạm nghiêm trọng các quy định về hoạt động ngân hàng và các quy định pháp luật khác của nước nơi tổ chức tín dụng đặt trụ sở chính trong 05 năm liền kề trước năm nộp hồ sơ đề nghị cấp Giấy phép và đến thời điểm nộp hồ sơ bổ sung để được xem xét cấp Giấy phép;
c) Có kinh nghiệm hoạt động quốc tế, được các tổ chức xếp hạng tín nhiệm quốc tế xếp hạng như sau:
Thứ hạng tín nhiệm từ mức A- trở lên (theo Standard &amp; Poor’s hoặc Fitch Ratings) hoặc từ mức A3 trở lên (theo Moody’s) đến thời điểm gần nhất tính từ thời điểm nộp hồ sơ đề nghị cấp Giấy phép. Trường hợp sử dụng xếp hạng tín nhiệm của tổ chức xếp hạng tín nhiệm quốc tế khác, tổ chức đó phải được Cơ quan Giám sát Thị trường và Chứng khoán Châu Âu (The European Securities and Markets Authority – ESMA) đăng ký hoặc xác nhận, hoặc tổ chức đó phải được quốc gia thuộc Nhóm các nước G7 cho phép xếp hạng tín nhiệm đối với tổ chức tín dụng nước ngoài thành lập tổ chức tín dụng phi ngân hàng tại Việt Nam, thứ hạng tín nhiệm phải từ mức A trở lên;
Triển vọng của thứ hạng tín nhiệm quy định tại điểm này từ mức ổn định trở lên. 
d) Được cơ quan có thẩm quyền của nước nơi tổ chức tín dụng đặt trụ sở chính đánh giá đảm bảo tỷ lệ an toàn vốn, các tỷ lệ bảo đảm an toàn khác, tuân thủ đầy đủ các quy định về quản trị rủi ro và trích lập dự phòng đầy đủ theo quy định của nước nơi tổ chức tín dụng đặt trụ sở chính vào năm liền kề trước năm nộp hồ sơ đề nghị cấp Giấy phép và đến thời điểm nộp hồ sơ bổ sung để được xem xét cấp Giấy phép;
đ) Không phải là cổ đông chiến lược, chủ sở hữu, thành viên sáng lập của tổ chức tín dụng khác được thành lập và hoạt động tại Việt Nam.
4. Trong thời hạn 05 năm kể từ ngày được cấp Giấy phép, chủ sở hữu, các thành viên sáng lập phải cùng nhau sở hữu 100% vốn điều lệ của tổ chức tín dụng phi ngân hàng trách nhiệm hữu hạn, trừ trường hợp quy định tại điểm c khoản 5 Điều 9 Nghị định số 162/2024/NĐ-CP ngày 20/12/2024. 
5. Chủ sở hữu là ngân hàng thương mại Việt Nam được chuyển giao bắt buộc thành lập tổ chức tín dụng phi ngân hàng để thực hiện phương án chuyển giao bắt buộc đã được phê duyệt phải tuân thủ các quy định sau đây:
a) Quy định tại khoản 1, 2 Điều 8 và điểm d khoản 4 Điều 8 Nghị định số 162/2024/NĐ-CP;
b) Có mức vốn điều lệ tối thiểu bằng tổng mức vốn pháp định đối với ngân hàng thương mại và mức vốn pháp định đối với tổ chức tín dụng phi ngân hàng theo quy định của pháp luật đến thời điểm nộp hồ sơ đề nghị cấp Giấy phép;
c) Thời hạn sở hữu quy định tại khoản 4 Điều 9 Nghị định số 162/2024/NĐ-CP ngày 20/12/2024 thực hiện theo phương án chuyển giao bắt buộc đã được phê duyệt.
- Điều kiện về tổng tài sản có và tình hình tài chính đối với tổ chức tín dụng nước ngoài khi đề nghị cấp Giấy phép
Khi đề nghị cấp Giấy phép, tổ chức tín dụng nước ngoài là thành viên sáng lập, chủ sở hữu của tổ chức tín dụng phi ngân hàng phải đáp ứng các điều kiện về tổng tài sản có và tình hình tài chính sau đây:
1. Có tổng tài sản có ít nhất tương đương 10 tỷ đô la Mỹ vào cuối năm liền kề trước năm nộp hồ sơ đề nghị cấp Giấy phép và đến thời điểm nộp hồ sơ bổ sung đề nghị cấp Giấy phép;
2. Kinh doanh có lãi trong 03 năm liên tiếp liền kề trước năm nộp hồ sơ đề nghị cấp Giấy phép và đến thời điểm nộp hồ sơ bổ sung đề nghị cấp Giấy phép.</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Hồ sơ đề nghị cấp Giấy phép tổ chức tín dụng phi ngân hàng trong nước được lập 01 bộ bằng tiếng Việt, trừ trường hợp Thông tư số 57/2024/TT-NHNN có quy định khác.</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https://thutuc.dichvucong.gov.vn/p/home/dvc-tthc-thu-tuc-hanh-chinh-chi-tiet.html?ma_thu_tuc=1352</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2025-11-27T16:28:58Z</dcterms:created>
  <dc:creator>Apache POI</dc:creator>
</cp:coreProperties>
</file>