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thường trú cho người nước ngoài tại Việt Nam tại Công an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Trường hợp thẻ thường trú bị mất, bị hỏng hoặc thay đổi nội dung ghi trong thẻ, người nước ngoài thường trú phải đến nộp hồ sơ tại Cơ quan Quản lý xuất nhập cảnh Công an cấp tỉnh nơi thường trú để đề nghị cấp lại thẻ.
* Cán bộ quản lý xuất nhập cảnh tiếp nhận hồ sơ, kiểm tra tính pháp lý và nội dung hồ sơ:
+ Trường hợp hồ sơ đã đầy đủ, hợp lệ thì cấp giấy hẹn trả kết quả cho người đề nghị cấp lại thẻ thường trú; yêu cầu nộp phí cho cán bộ thu phí. Cán bộ thu phí thu tiền, giao biên lai thu tiền cho người đề nghị cấp lại thẻ thường trú.
+ Trường hợp hồ sơ thiếu hoặc không hợp lệ thì cán bộ tiếp nhận hồ sơ hướng dẫn để người đề nghị cấp lại thẻ thường trú hoàn chỉnh hồ sơ.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cấp lại thẻ thường trú trực tiếp nhận kết quả tại Cơ quan Quản lý xuất nhập cảnh Công an cấp tỉnh. Khi đến nhận kết quả mang theo giấy hẹn trả kết quả, biên lai thu tiền để đối chiếu. 
+ Trường hợp chưa cấp lại thẻ thường trú thì trả lời bằng văn bản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100 USD</w:t>
              <w:t xml:space="preserve"> (100 USD/thẻ.)</w:t>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Quản lý xuất nhập cảnh Công an cấp tỉnh.  
20 ngày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đổi, cấp lại thẻ thường trú (mẫu NA13) ban hành kèm Thông tư số 22/2023/TT-BCA ngày 30/6/2023 của Bộ Công an.</w:t>
            </w:r>
          </w:p>
        </w:tc>
        <w:tc>
          <w:p/>
          <w:p>
            <w:pPr>
              <w:spacing w:after="0" w:before="0" w:lineRule="auto" w:line="276"/>
              <w:jc w:val="left"/>
            </w:pPr>
            <w:r>
              <w:rPr>
                <w:rFonts w:ascii="Times New Roman" w:hAnsi="Times New Roman" w:cs="Times New Roman" w:eastAsia="Times New Roman"/>
                <w:b w:val="false"/>
                <w:sz w:val="26"/>
              </w:rPr>
              <w:t>NA13.doc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mới chụp, cỡ 2 x 3cm, mặt nhìn thẳng, không đội mũ, không đeo kính, trang phục lịch sự, phông ảnh nền trắng (01 ảnh dán vào tờ khai; 01 ảnh để rời).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Thẻ thường trú, trường hợp thẻ thường trú bị mất phải có đơn báo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hộ chiếu có chứng thực, trừ trường hợp người không quốc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nội dung thay đổi ghi trong thẻ thường trú nếu đề nghị cấp lại thẻ thường trú do thay đổi nội dung ghi trong thẻ</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thường trú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 47/2014/QH13 </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 	31/2015/TT-BCA</w:t>
            </w:r>
          </w:p>
        </w:tc>
        <w:tc>
          <w:p/>
          <w:p>
            <w:pPr>
              <w:spacing w:after="0" w:before="0" w:lineRule="auto" w:line="276"/>
              <w:jc w:val="left"/>
            </w:pPr>
            <w:r>
              <w:rPr>
                <w:rFonts w:ascii="Times New Roman" w:hAnsi="Times New Roman" w:cs="Times New Roman" w:eastAsia="Times New Roman"/>
                <w:b w:val="false"/>
                <w:sz w:val="26"/>
              </w:rPr>
              <w:t>Thông tư 31/2015/TT-BCA</w:t>
            </w:r>
          </w:p>
        </w:tc>
        <w:tc>
          <w:p/>
          <w:p>
            <w:pPr>
              <w:spacing w:after="0" w:before="0" w:lineRule="auto" w:line="276"/>
              <w:jc w:val="left"/>
            </w:pPr>
            <w:r>
              <w:rPr>
                <w:rFonts w:ascii="Times New Roman" w:hAnsi="Times New Roman" w:cs="Times New Roman" w:eastAsia="Times New Roman"/>
                <w:b w:val="false"/>
                <w:sz w:val="26"/>
              </w:rPr>
              <w:t>06-07-2015</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các trường hợp và điều kiện cho thường trú theo quy định tại Luật Nhập cảnh, xuất cảnh, quá cảnh, cư trú của người nước ngoài tại Việt Nam; cụ thể là:
* Các trường hợp được xét cho thường trú:
+ Người nước ngoài được cha, mẹ, vợ, chồng, con là công dân Việt Nam đang thường trú tại Việt Nam bảo lãnh.
+ Người không quốc tịch đã tạm trú liên tục tại Việt Nam từ năm 2000 trở về trước.
* Điều kiện xét cho thường trú: 
+ Người nước ngoài quy định tại các trường hợp nêu trên được xét cho thường trú nếu có chỗ ở hợp pháp và có thu nhập ổn định bảo đảm cuộc sống tại Việt Nam.
+ Người nước ngoài được cha, mẹ, vợ, chồng, con là công dân Việt Nam đang thường trú tại Việt Nam bảo lãnh đã tạm trú tại Việt Nam liên tục từ 03 năm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2025-11-27T16:29:49Z</dcterms:created>
  <dc:creator>Apache POI</dc:creator>
</cp:coreProperties>
</file>