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2072/QĐ-BYT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Dừng trợ giúp xã hội tại cơ sở trợ giúp xã hội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Bảo trợ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Đối tượng sử dụng dịch vụ hoặc người giám hộ, thân nhân hoặc gia đình, cá nhân nhận chăm sóc, nuôi dưỡng hoặc cha mẹ nuôi (quy định tại các điểm b, c, d và g khoản 2 Điều 30 Nghị định số 20/2021/NĐ-CP) có đơn đề nghị gửi người đứng đầu cơ sở dừng trợ giúp xã hội.
- Bước 2: Trong thời hạn 07 ngày làm việc, kể từ khi nhận được đơn, người đứng đầu cơ sở cấp tỉnh quyết định dừng trợ giúp xã hội.
- Bước 3: Cơ sở trợ giúp xã hội lập biên bản bàn giao đối tượng về gia đình, cộng đồng có xác nhận của Ủy ban nhân dân cấp xã hoặc thanh lý hợp đồng dịch vụ trợ giúp xã hội.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dừng trợ giúp xã hội (theo Mẫu số 09 ban hành  kèm  theo Nghị định số 20/2021/NĐ-CP).</w:t>
            </w:r>
          </w:p>
        </w:tc>
        <w:tc>
          <w:p/>
          <w:p>
            <w:pPr>
              <w:spacing w:after="0" w:before="0" w:lineRule="auto" w:line="276"/>
              <w:jc w:val="left"/>
            </w:pPr>
            <w:r>
              <w:rPr>
                <w:rFonts w:ascii="Times New Roman" w:hAnsi="Times New Roman" w:cs="Times New Roman" w:eastAsia="Times New Roman"/>
                <w:b w:val="false"/>
                <w:sz w:val="26"/>
              </w:rPr>
              <w:t>Mus09.docx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trợ giúp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sở trợ giúp xã hội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Dừng trợ giúp xã hội (BYT)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20/2021/NĐ-CP</w:t>
            </w:r>
          </w:p>
        </w:tc>
        <w:tc>
          <w:p/>
          <w:p>
            <w:pPr>
              <w:spacing w:after="0" w:before="0" w:lineRule="auto" w:line="276"/>
              <w:jc w:val="left"/>
            </w:pPr>
            <w:r>
              <w:rPr>
                <w:rFonts w:ascii="Times New Roman" w:hAnsi="Times New Roman" w:cs="Times New Roman" w:eastAsia="Times New Roman"/>
                <w:b w:val="false"/>
                <w:sz w:val="26"/>
              </w:rPr>
              <w:t>QUY ĐỊNH CHÍNH SÁCH TRỢ GIÚP XÃ HỘI ĐỐI VỚI ĐỐI TƯỢNG BẢO TRỢ XÃ HỘI</w:t>
            </w:r>
          </w:p>
        </w:tc>
        <w:tc>
          <w:p/>
          <w:p>
            <w:pPr>
              <w:spacing w:after="0" w:before="0" w:lineRule="auto" w:line="276"/>
              <w:jc w:val="left"/>
            </w:pPr>
            <w:r>
              <w:rPr>
                <w:rFonts w:ascii="Times New Roman" w:hAnsi="Times New Roman" w:cs="Times New Roman" w:eastAsia="Times New Roman"/>
                <w:b w:val="false"/>
                <w:sz w:val="26"/>
              </w:rPr>
              <w:t>15-03-2021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147/2025/NĐ-CP</w:t>
            </w:r>
          </w:p>
        </w:tc>
        <w:tc>
          <w:p/>
          <w:p>
            <w:pPr>
              <w:spacing w:after="0" w:before="0" w:lineRule="auto" w:line="276"/>
              <w:jc w:val="left"/>
            </w:pPr>
            <w:r>
              <w:rPr>
                <w:rFonts w:ascii="Times New Roman" w:hAnsi="Times New Roman" w:cs="Times New Roman" w:eastAsia="Times New Roman"/>
                <w:b w:val="false"/>
                <w:sz w:val="26"/>
              </w:rPr>
              <w:t>Nghị định số 147/2025/NĐ-CP của Chính phủ: Quy định về phân định thẩm quyền của chính quyền địa phương 02 cấp trong lĩnh vực quản lý nhà nước của Bộ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2025-11-27T16:30:20Z</dcterms:created>
  <dc:creator>Apache POI</dc:creator>
</cp:coreProperties>
</file>