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2.000482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3339/QĐ-NHCS</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trả nợ, trả lãi trực tiếp bằng tiền mặt của người vay là tổ viên Tổ Tiết kiệm và vay vốn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tín dụng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Người vay:
Nộp Sổ vay vốn do người vay lưu giữ và điền thông tin vào Bảng kê các loại tiền nộp, chuyển tiền mặt cho NHCSXH nơi thực hiện thủ tục để đề nghị trả nợ, trả lãi.
</w:t>
      </w:r>
    </w:p>
    <w:p>
      <w:pPr>
        <w:spacing w:after="0" w:before="0" w:lineRule="auto" w:line="276"/>
        <w:jc w:val="both"/>
      </w:pPr>
      <w:r>
        <w:rPr>
          <w:rFonts w:ascii="Times New Roman" w:hAnsi="Times New Roman" w:cs="Times New Roman" w:eastAsia="Times New Roman"/>
          <w:b w:val="false"/>
          <w:sz w:val="26"/>
        </w:rPr>
        <w:t>Bước 2: NHCSXH nơi thực hiện thủ tục 
- Thực hiện giao dịch cho người vay và chuyển trả Sổ vay vốn, Phiếu giao dịch cho người vay.
- Trường hợp người vay trả gốc: ghi số tiền người vay trả vào Sổ vay vốn người vay lưu giữ và trả cùng với Phiếu giao dịch cho người vay.
</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Ngay sau khi NHCSXH nơi thực hiện thủ tục nhận được hồ sơ của người va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Trực tiếp tại NHCSXH nơi thực hiện thủ tục.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Sổ vay vốn người vay lưu giữ: 01 bản</w:t>
            </w:r>
          </w:p>
        </w:tc>
        <w:tc>
          <w:p/>
          <w:p>
            <w:pPr>
              <w:spacing w:after="0" w:before="0" w:lineRule="auto" w:line="276"/>
              <w:jc w:val="left"/>
            </w:pPr>
            <w:r>
              <w:rPr>
                <w:rFonts w:ascii="Times New Roman" w:hAnsi="Times New Roman" w:cs="Times New Roman" w:eastAsia="Times New Roman"/>
                <w:b w:val="false"/>
                <w:sz w:val="26"/>
              </w:rPr>
              <w:t>Sổ vay vốn-VB-5589-KTTC-29.12.2017 (%năm).doc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Bảng kê các loại tiền nộp: 01 bản chính (lưu tại NHCSXH nơi thực hiện thủ tục).</w:t>
            </w:r>
          </w:p>
        </w:tc>
        <w:tc>
          <w:p/>
          <w:p>
            <w:pPr>
              <w:spacing w:after="0" w:before="0" w:lineRule="auto" w:line="276"/>
              <w:jc w:val="left"/>
            </w:pPr>
            <w:r>
              <w:rPr>
                <w:rFonts w:ascii="Times New Roman" w:hAnsi="Times New Roman" w:cs="Times New Roman" w:eastAsia="Times New Roman"/>
                <w:b w:val="false"/>
                <w:sz w:val="26"/>
              </w:rPr>
              <w:t>11-TK (Bảng kê các loại tiền nộp).doc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Phiếu giao dịch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1454/HD-NHCS</w:t>
            </w:r>
          </w:p>
        </w:tc>
        <w:tc>
          <w:p/>
          <w:p>
            <w:pPr>
              <w:spacing w:after="0" w:before="0" w:lineRule="auto" w:line="276"/>
              <w:jc w:val="left"/>
            </w:pPr>
            <w:r>
              <w:rPr>
                <w:rFonts w:ascii="Times New Roman" w:hAnsi="Times New Roman" w:cs="Times New Roman" w:eastAsia="Times New Roman"/>
                <w:b w:val="false"/>
                <w:sz w:val="26"/>
              </w:rPr>
              <w:t>Văn bản số 1454/HD-NHCS</w:t>
            </w:r>
          </w:p>
        </w:tc>
        <w:tc>
          <w:p/>
          <w:p>
            <w:pPr>
              <w:spacing w:after="0" w:before="0" w:lineRule="auto" w:line="276"/>
              <w:jc w:val="left"/>
            </w:pPr>
            <w:r>
              <w:rPr>
                <w:rFonts w:ascii="Times New Roman" w:hAnsi="Times New Roman" w:cs="Times New Roman" w:eastAsia="Times New Roman"/>
                <w:b w:val="false"/>
                <w:sz w:val="26"/>
              </w:rPr>
              <w:t>20-05-2014</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4030/NHCS-TDNN</w:t>
            </w:r>
          </w:p>
        </w:tc>
        <w:tc>
          <w:p/>
          <w:p>
            <w:pPr>
              <w:spacing w:after="0" w:before="0" w:lineRule="auto" w:line="276"/>
              <w:jc w:val="left"/>
            </w:pPr>
            <w:r>
              <w:rPr>
                <w:rFonts w:ascii="Times New Roman" w:hAnsi="Times New Roman" w:cs="Times New Roman" w:eastAsia="Times New Roman"/>
                <w:b w:val="false"/>
                <w:sz w:val="26"/>
              </w:rPr>
              <w:t>Văn bản số 4030/NHCS-TDNN</w:t>
            </w:r>
          </w:p>
        </w:tc>
        <w:tc>
          <w:p/>
          <w:p>
            <w:pPr>
              <w:spacing w:after="0" w:before="0" w:lineRule="auto" w:line="276"/>
              <w:jc w:val="left"/>
            </w:pPr>
            <w:r>
              <w:rPr>
                <w:rFonts w:ascii="Times New Roman" w:hAnsi="Times New Roman" w:cs="Times New Roman" w:eastAsia="Times New Roman"/>
                <w:b w:val="false"/>
                <w:sz w:val="26"/>
              </w:rPr>
              <w:t>10-12-2014</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4198/NHCS-TDNN</w:t>
            </w:r>
          </w:p>
        </w:tc>
        <w:tc>
          <w:p/>
          <w:p>
            <w:pPr>
              <w:spacing w:after="0" w:before="0" w:lineRule="auto" w:line="276"/>
              <w:jc w:val="left"/>
            </w:pPr>
            <w:r>
              <w:rPr>
                <w:rFonts w:ascii="Times New Roman" w:hAnsi="Times New Roman" w:cs="Times New Roman" w:eastAsia="Times New Roman"/>
                <w:b w:val="false"/>
                <w:sz w:val="26"/>
              </w:rPr>
              <w:t>Văn bản số 4198/NHCS-TDNN</w:t>
            </w:r>
          </w:p>
        </w:tc>
        <w:tc>
          <w:p/>
          <w:p>
            <w:pPr>
              <w:spacing w:after="0" w:before="0" w:lineRule="auto" w:line="276"/>
              <w:jc w:val="left"/>
            </w:pPr>
            <w:r>
              <w:rPr>
                <w:rFonts w:ascii="Times New Roman" w:hAnsi="Times New Roman" w:cs="Times New Roman" w:eastAsia="Times New Roman"/>
                <w:b w:val="false"/>
                <w:sz w:val="26"/>
              </w:rPr>
              <w:t>16-12-2014</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2517/NHCSXH-KT</w:t>
            </w:r>
          </w:p>
        </w:tc>
        <w:tc>
          <w:p/>
          <w:p>
            <w:pPr>
              <w:spacing w:after="0" w:before="0" w:lineRule="auto" w:line="276"/>
              <w:jc w:val="left"/>
            </w:pPr>
            <w:r>
              <w:rPr>
                <w:rFonts w:ascii="Times New Roman" w:hAnsi="Times New Roman" w:cs="Times New Roman" w:eastAsia="Times New Roman"/>
                <w:b w:val="false"/>
                <w:sz w:val="26"/>
              </w:rPr>
              <w:t>Văn bản số 2517/NHCSXH-KT</w:t>
            </w:r>
          </w:p>
        </w:tc>
        <w:tc>
          <w:p/>
          <w:p>
            <w:pPr>
              <w:spacing w:after="0" w:before="0" w:lineRule="auto" w:line="276"/>
              <w:jc w:val="left"/>
            </w:pPr>
            <w:r>
              <w:rPr>
                <w:rFonts w:ascii="Times New Roman" w:hAnsi="Times New Roman" w:cs="Times New Roman" w:eastAsia="Times New Roman"/>
                <w:b w:val="false"/>
                <w:sz w:val="26"/>
              </w:rPr>
              <w:t>23-07-2015</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	78/2002/NĐ-CP</w:t>
            </w:r>
          </w:p>
        </w:tc>
        <w:tc>
          <w:p/>
          <w:p>
            <w:pPr>
              <w:spacing w:after="0" w:before="0" w:lineRule="auto" w:line="276"/>
              <w:jc w:val="left"/>
            </w:pPr>
            <w:r>
              <w:rPr>
                <w:rFonts w:ascii="Times New Roman" w:hAnsi="Times New Roman" w:cs="Times New Roman" w:eastAsia="Times New Roman"/>
                <w:b w:val="false"/>
                <w:sz w:val="26"/>
              </w:rPr>
              <w:t>Nghị định 78/2002/NĐ-CP</w:t>
            </w:r>
          </w:p>
        </w:tc>
        <w:tc>
          <w:p/>
          <w:p>
            <w:pPr>
              <w:spacing w:after="0" w:before="0" w:lineRule="auto" w:line="276"/>
              <w:jc w:val="left"/>
            </w:pPr>
            <w:r>
              <w:rPr>
                <w:rFonts w:ascii="Times New Roman" w:hAnsi="Times New Roman" w:cs="Times New Roman" w:eastAsia="Times New Roman"/>
                <w:b w:val="false"/>
                <w:sz w:val="26"/>
              </w:rPr>
              <w:t>04-10-2002</w:t>
            </w:r>
          </w:p>
        </w:tc>
        <w:tc>
          <w:p/>
          <w:p>
            <w:pPr>
              <w:spacing w:after="0" w:before="0" w:lineRule="auto" w:line="276"/>
              <w:jc w:val="left"/>
            </w:pPr>
            <w:r>
              <w:rPr>
                <w:rFonts w:ascii="Times New Roman" w:hAnsi="Times New Roman" w:cs="Times New Roman" w:eastAsia="Times New Roman"/>
                <w:b w:val="false"/>
                <w:sz w:val="26"/>
              </w:rPr>
              <w:t>Phòng Chính phủ số</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Hồ sơ chứng từ được lập đúng và đủ theo yêu cầu của NHCSXH.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https://thutuc.dichvucong.gov.vn/p/home/dvc-tthc-thu-tuc-hanh-chinh-chi-tiet.html?ma_thu_tuc=1483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2025-11-27T16:30:31Z</dcterms:created>
  <dc:creator>Apache POI</dc:creator>
</cp:coreProperties>
</file>