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2.000497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1833/QĐ-BTP</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đăng ký lại khai tử có yếu tố nước ngoài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Hộ tịch</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Nếu lựa chọn hình thức nộp hồ sơ trực tiếp, người yêu cầu đăng ký lại khai tử nộp hồ sơ đăng ký lại khai tử tại Trung tâm phục vụ hành chính công có thẩm quyền nộp lệ phí nếu thuộc trường hợp phải nộp lệ phí đăng ký lại khai tử; nộp phí cấp bản sao Trích lục khai tử nếu có yêu cầu cấp bản sao Trích lục khai tử.</w:t>
      </w:r>
    </w:p>
    <w:p>
      <w:pPr>
        <w:spacing w:after="0" w:before="0" w:lineRule="auto" w:line="276"/>
        <w:jc w:val="both"/>
      </w:pPr>
      <w:r>
        <w:rPr>
          <w:rFonts w:ascii="Times New Roman" w:hAnsi="Times New Roman" w:cs="Times New Roman" w:eastAsia="Times New Roman"/>
          <w:b w:val="false"/>
          <w:sz w:val="26"/>
        </w:rPr>
        <w:t>-- Nếu lựa chọn hình thức nộp hồ sơ trực tuyến, người yêu cầu đăng ký lại khai tử truy cập Cổng dịch vụ công quốc gia , xác thực người dùng theo hướng dẫn, đăng nhập vào hệ thống, lựa chọn Ủy ban nhân dân cấp xã có thẩm quyền.</w:t>
      </w:r>
    </w:p>
    <w:p>
      <w:pPr>
        <w:spacing w:after="0" w:before="0" w:lineRule="auto" w:line="276"/>
        <w:jc w:val="both"/>
      </w:pPr>
      <w:r>
        <w:rPr>
          <w:rFonts w:ascii="Times New Roman" w:hAnsi="Times New Roman" w:cs="Times New Roman" w:eastAsia="Times New Roman"/>
          <w:b w:val="false"/>
          <w:sz w:val="26"/>
        </w:rPr>
        <w:t>Người có yêu cầu đăng ký lại khai tử trực tuyến cung cấp thông tin theo biểu mẫu điện tử tương tác đăng ký lại khai tử (cung cấp trên Cổng dịch vụ công), đính kèm bản chụp hoặc bản sao điện tử các giấy tờ, tài liệu theo quy định; nộp phí, lệ phí thông qua chức năng thanh toán trực tuyến hoặc bằng cách thức khác theo quy định pháp luật, hoàn tất việc nộp hồ sơ.</w:t>
      </w:r>
    </w:p>
    <w:p>
      <w:pPr>
        <w:spacing w:after="0" w:before="0" w:lineRule="auto" w:line="276"/>
        <w:jc w:val="both"/>
      </w:pPr>
      <w:r>
        <w:rPr>
          <w:rFonts w:ascii="Times New Roman" w:hAnsi="Times New Roman" w:cs="Times New Roman" w:eastAsia="Times New Roman"/>
          <w:b w:val="false"/>
          <w:sz w:val="26"/>
        </w:rPr>
        <w:t>- Cán bộ tiếp nhận hồ sơ tại Trung tâm Phục vụ hành chính công có trách nhiệm kiểm tra tính chính xác, đầy đủ, thống nhất, hợp lệ của hồ sơ.</w:t>
      </w:r>
    </w:p>
    <w:p>
      <w:pPr>
        <w:spacing w:after="0" w:before="0" w:lineRule="auto" w:line="276"/>
        <w:jc w:val="both"/>
      </w:pPr>
      <w:r>
        <w:rPr>
          <w:rFonts w:ascii="Times New Roman" w:hAnsi="Times New Roman" w:cs="Times New Roman" w:eastAsia="Times New Roman"/>
          <w:b w:val="false"/>
          <w:sz w:val="26"/>
        </w:rPr>
        <w:t>(i) Trường hợp hồ sơ đầy đủ, hợp lệ thì tiếp nhận hồ sơ, có Phiếu hẹn, trả kết quả cho người yêu cầu (nếu người yêu cầu nộp hồ sơ trực tiếp) hoặc gửi ngay Phiếu hẹn, trả kết quả qua thư điện tử hoặc gửi tin nhắn hẹn trả kết quả qua điện thoại di động cho người yêu cầu (nếu người yêu cầu nộp hồ sơ trực tuyến), đồng thời chuyển hồ sơ để công chức tư pháp - hộ tịch xử lý; trường hợp tiếp nhận hồ sơ tại Trung tâm Phục vụ hành chính công cấp tỉnh, cán bộ tiếp nhận hồ sơ chuyển hồ sơ đến Ủy ban nhân dân cấp xã có thẩm quyền xử lý.</w:t>
      </w:r>
    </w:p>
    <w:p>
      <w:pPr>
        <w:spacing w:after="0" w:before="0" w:lineRule="auto" w:line="276"/>
        <w:jc w:val="both"/>
      </w:pPr>
      <w:r>
        <w:rPr>
          <w:rFonts w:ascii="Times New Roman" w:hAnsi="Times New Roman" w:cs="Times New Roman" w:eastAsia="Times New Roman"/>
          <w:b w:val="false"/>
          <w:sz w:val="26"/>
        </w:rPr>
        <w:t>-  Sau khi tiếp nhận hồ sơ theo hình thức nộp trực tiếp, cán bộ tiếp nhận hồ sơ tại Bộ phận một cửa thực hiện số hóa (sao chụp, chuyển thành tài liệu điện tử trên hệ thống thông tin, cơ sở dữ liệu) và ký số vào tài liệu, hồ sơ giải quyết thủ tục hành chính đã được số hóa theo quy định.</w:t>
      </w:r>
    </w:p>
    <w:p>
      <w:pPr>
        <w:spacing w:after="0" w:before="0" w:lineRule="auto" w:line="276"/>
        <w:jc w:val="both"/>
      </w:pPr>
      <w:r>
        <w:rPr>
          <w:rFonts w:ascii="Times New Roman" w:hAnsi="Times New Roman" w:cs="Times New Roman" w:eastAsia="Times New Roman"/>
          <w:b w:val="false"/>
          <w:sz w:val="26"/>
        </w:rPr>
        <w:t>(ii) Trường hợp hồ sơ chưa đầy đủ, hợp lệ thì có thông báo cho người yêu cầu bổ sung, hoàn thiện hồ sơ, nêu rõ loại giấy tờ, nội dung cần bổ sung để người có yêu cầu bổ sung, hoàn thiện. Sau khi hồ sơ được bổ sung, thực hiện lại bước (i);</w:t>
      </w:r>
    </w:p>
    <w:p>
      <w:pPr>
        <w:spacing w:after="0" w:before="0" w:lineRule="auto" w:line="276"/>
        <w:jc w:val="both"/>
      </w:pPr>
      <w:r>
        <w:rPr>
          <w:rFonts w:ascii="Times New Roman" w:hAnsi="Times New Roman" w:cs="Times New Roman" w:eastAsia="Times New Roman"/>
          <w:b w:val="false"/>
          <w:sz w:val="26"/>
        </w:rPr>
        <w:t>(iii) Nếu người yêu cầu đăng ký lại khai tử không bổ sung, hoàn thiện được hồ sơ thì báo cáo Lãnh đạo Trung tâm Phục vụ hành chính công có văn bản từ chối giải quyết yêu cầu đăng ký lại khai tử.</w:t>
      </w:r>
    </w:p>
    <w:p>
      <w:pPr>
        <w:spacing w:after="0" w:before="0" w:lineRule="auto" w:line="276"/>
        <w:jc w:val="both"/>
      </w:pPr>
      <w:r>
        <w:rPr>
          <w:rFonts w:ascii="Times New Roman" w:hAnsi="Times New Roman" w:cs="Times New Roman" w:eastAsia="Times New Roman"/>
          <w:b w:val="false"/>
          <w:sz w:val="26"/>
        </w:rPr>
        <w:t>- Công chức làm công tác hộ tịch thẩm tra hồ sơ (thẩm tra tính thống nhất, hợp lệ của các thông tin trong hồ sơ, giấy tờ, tài liệu do người yêu cầu nộp, xuất trình hoặc đính kèm).</w:t>
      </w:r>
    </w:p>
    <w:p>
      <w:pPr>
        <w:spacing w:after="0" w:before="0" w:lineRule="auto" w:line="276"/>
        <w:jc w:val="both"/>
      </w:pPr>
      <w:r>
        <w:rPr>
          <w:rFonts w:ascii="Times New Roman" w:hAnsi="Times New Roman" w:cs="Times New Roman" w:eastAsia="Times New Roman"/>
          <w:b w:val="false"/>
          <w:sz w:val="26"/>
        </w:rPr>
        <w:t>+ Trường hợp hồ sơ cần bổ sung, hoàn thiện hoặc không đủ điều kiện giải quyết, phải từ chối thì công chức tư pháp - hộ tịch gửi thông báo về tình trạng hồ sơ tới Trung tâm Phục vụ hành chính công để thông báo cho người nộp hồ sơ – thực hiện lại bước (ii) hoặc (iii);</w:t>
      </w:r>
    </w:p>
    <w:p>
      <w:pPr>
        <w:spacing w:after="0" w:before="0" w:lineRule="auto" w:line="276"/>
        <w:jc w:val="both"/>
      </w:pPr>
      <w:r>
        <w:rPr>
          <w:rFonts w:ascii="Times New Roman" w:hAnsi="Times New Roman" w:cs="Times New Roman" w:eastAsia="Times New Roman"/>
          <w:b w:val="false"/>
          <w:sz w:val="26"/>
        </w:rPr>
        <w:t>+ Trường hợp cần phải kiểm tra, xác minh làm rõ hoặc do nguyên nhân khác mà không thể trả kết quả đúng thời gian đã hẹn thì công chức tư pháp - hộ tịch lập Phiếu xin lỗi và hẹn lại ngày trả kết quả, trong đó nêu rõ lý do chậm trả kết quả và thời gian hẹn trả kết quả, chuyển Trung tâm Phục vụ hành chính công để trả cho người yêu cầu (nếu người yêu cầu nộp hồ sơ trực tiếp), hoặc gửi Phiếu xin lỗi và hẹn lại ngày trả kết quả qua thư điện tử hoặc gửi tin nhắn qua điện thoại di động cho người yêu cầu (nếu người yêu cầu nộp hồ sơ trực tuyến).</w:t>
      </w:r>
    </w:p>
    <w:p>
      <w:pPr>
        <w:spacing w:after="0" w:before="0" w:lineRule="auto" w:line="276"/>
        <w:jc w:val="both"/>
      </w:pPr>
      <w:r>
        <w:rPr>
          <w:rFonts w:ascii="Times New Roman" w:hAnsi="Times New Roman" w:cs="Times New Roman" w:eastAsia="Times New Roman"/>
          <w:b w:val="false"/>
          <w:sz w:val="26"/>
        </w:rPr>
        <w:t>+ Nếu thấy hồ sơ đầy đủ, hợp lệ, đúng quy định, trường hợp tiếp nhận hồ sơ đăng ký lại khai tử theo hình thức trực tiếp, thì công chức làm công tác hộ tịch thực hiện việc ghi vào Sổ đăng ký khai tử, cập nhật thông tin đăng ký lại khai tử và lưu chính thức trên Phần mềm đăng ký, quản lý hộ tịch điện tử dùng chung.</w:t>
      </w:r>
    </w:p>
    <w:p>
      <w:pPr>
        <w:spacing w:after="0" w:before="0" w:lineRule="auto" w:line="276"/>
        <w:jc w:val="both"/>
      </w:pPr>
      <w:r>
        <w:rPr>
          <w:rFonts w:ascii="Times New Roman" w:hAnsi="Times New Roman" w:cs="Times New Roman" w:eastAsia="Times New Roman"/>
          <w:b w:val="false"/>
          <w:sz w:val="26"/>
        </w:rPr>
        <w:t>Trường hợp tiếp nhận hồ sơ đăng ký lại khai tử theo hình thức trực tuyến, công chức làm công tác hộ tịch gửi lại biểu mẫu Trích lục khai tử điện tử với thông tin đầy đủ cho người yêu cầu qua thư điện tử hoặc thiết bị số.</w:t>
      </w:r>
    </w:p>
    <w:p>
      <w:pPr>
        <w:spacing w:after="0" w:before="0" w:lineRule="auto" w:line="276"/>
        <w:jc w:val="both"/>
      </w:pPr>
      <w:r>
        <w:rPr>
          <w:rFonts w:ascii="Times New Roman" w:hAnsi="Times New Roman" w:cs="Times New Roman" w:eastAsia="Times New Roman"/>
          <w:b w:val="false"/>
          <w:sz w:val="26"/>
        </w:rPr>
        <w:t>Người yêu cầu có trách nhiệm kiểm tra tính chính xác, đầy đủ của các thông tin trên biểu mẫu Trích lục khai tử điện tử và xác nhận (tối đa một ngày).</w:t>
      </w:r>
    </w:p>
    <w:p>
      <w:pPr>
        <w:spacing w:after="0" w:before="0" w:lineRule="auto" w:line="276"/>
        <w:jc w:val="both"/>
      </w:pPr>
      <w:r>
        <w:rPr>
          <w:rFonts w:ascii="Times New Roman" w:hAnsi="Times New Roman" w:cs="Times New Roman" w:eastAsia="Times New Roman"/>
          <w:b w:val="false"/>
          <w:sz w:val="26"/>
        </w:rPr>
        <w:t>Nếu người có yêu cầu xác nhận thông tin đã thống nhất, đầy đủ hoặc không có phản hồi sau thời hạn yêu cầu thì công chức làm công tác hộ tịch thực hiện việc ghi nội dung vào Sổ đăng ký khai tử, cập nhật thông tin đăng ký lại khai tử và lưu chính thức trên Phần mềm đăng ký, quản lý hộ tịch điện tử dùng chung.</w:t>
      </w:r>
    </w:p>
    <w:p>
      <w:pPr>
        <w:spacing w:after="0" w:before="0" w:lineRule="auto" w:line="276"/>
        <w:jc w:val="both"/>
      </w:pPr>
      <w:r>
        <w:rPr>
          <w:rFonts w:ascii="Times New Roman" w:hAnsi="Times New Roman" w:cs="Times New Roman" w:eastAsia="Times New Roman"/>
          <w:b w:val="false"/>
          <w:sz w:val="26"/>
        </w:rPr>
        <w:t>- Công chức tư pháp - hộ tịch in Trích lục khai tử, trình Lãnh đạo Ủy ban nhân dân cấp xã ký, chuyển tới Trung tâm Phục vụ hành chính công để trả kết quả cho người yêu cầu.</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05 ngày làm việc; trường hợp phải tiến hành xác minh thì thời hạn không quá 10 ngày làm việc. </w:t>
            </w:r>
          </w:p>
        </w:tc>
        <w:tc>
          <w:p/>
          <w:p>
            <w:pPr>
              <w:spacing w:after="0" w:before="0" w:lineRule="auto" w:line="276"/>
              <w:jc w:val="left"/>
            </w:pPr>
            <w:r>
              <w:rPr>
                <w:rFonts w:ascii="Times New Roman" w:hAnsi="Times New Roman" w:cs="Times New Roman" w:eastAsia="Times New Roman"/>
                <w:b w:val="false"/>
                <w:sz w:val="26"/>
              </w:rPr>
              <w:t xml:space="preserve">Lệ phí :  </w:t>
              <w:t xml:space="preserve"> (Mức lệ phí cụ thể do Hội đồng nhân dân tỉnh, thành phố trực thuộc Trung ương quyết định. Miễn lệ phí cho người thuộc gia đình có công với cách mạng; người thuộc hộ nghèo; người khuyết tật. Phí cấp bản sao Trích lục khai tử (nếu có yêu cầu) thực hiện theo quy định tại Thông tư số 281/2016/TT-BTC ngày 14/11/2016 của Bộ Tài chính.)</w:t>
            </w:r>
          </w:p>
        </w:tc>
        <w:tc>
          <w:p/>
          <w:p>
            <w:pPr>
              <w:spacing w:after="0" w:before="0" w:lineRule="auto" w:line="276"/>
              <w:jc w:val="left"/>
            </w:pPr>
            <w:r>
              <w:rPr>
                <w:rFonts w:ascii="Times New Roman" w:hAnsi="Times New Roman" w:cs="Times New Roman" w:eastAsia="Times New Roman"/>
                <w:b w:val="false"/>
                <w:sz w:val="26"/>
              </w:rPr>
              <w:t>-	Người yêu cầu đăng ký lại khai tử trực tiếp thực hiện hoặc ủy quyền cho người khác thực hiện việc đăng ký lại khai tử tại Trung tâm Phục vụ hành chính công, gửi qua hệ thống bưu chính hoặc nộp hồ sơ trực tuyến tại Cổng dịch vụ công quốc gia  (https://dichvucong.gov.vn).</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 xml:space="preserve">05 ngày làm việc; trường hợp phải tiến hành xác minh thì thời hạn không quá 10 ngày làm việc. </w:t>
            </w:r>
          </w:p>
        </w:tc>
        <w:tc>
          <w:p/>
          <w:p>
            <w:pPr>
              <w:spacing w:after="0" w:before="0" w:lineRule="auto" w:line="276"/>
              <w:jc w:val="left"/>
            </w:pPr>
            <w:r>
              <w:rPr>
                <w:rFonts w:ascii="Times New Roman" w:hAnsi="Times New Roman" w:cs="Times New Roman" w:eastAsia="Times New Roman"/>
                <w:b w:val="false"/>
                <w:sz w:val="26"/>
              </w:rPr>
              <w:t xml:space="preserve">Lệ phí :  </w:t>
              <w:t xml:space="preserve"> (Mức lệ phí cụ thể do Hội đồng nhân dân tỉnh, thành phố trực thuộc Trung ương quyết định. Miễn lệ phí cho người thuộc gia đình có công với cách mạng; người thuộc hộ nghèo; người khuyết tật. Phí cấp bản sao Trích lục khai tử (nếu có yêu cầu) thực hiện theo quy định tại Thông tư số 281/2016/TT-BTC ngày 14/11/2016 của Bộ Tài chính.)</w:t>
            </w:r>
          </w:p>
        </w:tc>
        <w:tc>
          <w:p/>
          <w:p>
            <w:pPr>
              <w:spacing w:after="0" w:before="0" w:lineRule="auto" w:line="276"/>
              <w:jc w:val="left"/>
            </w:pPr>
            <w:r>
              <w:rPr>
                <w:rFonts w:ascii="Times New Roman" w:hAnsi="Times New Roman" w:cs="Times New Roman" w:eastAsia="Times New Roman"/>
                <w:b w:val="false"/>
                <w:sz w:val="26"/>
              </w:rPr>
              <w:t>Thủ tục này đủ điều kiện thực hiện dịch vụ công trực tuyến toàn trình.
Người yêu cầu đăng ký lại khai tử trực tiếp thực hiện hoặc ủy quyền cho người khác thực hiện việc đăng ký lại khai tử tại Trung tâm Phục vụ hành chính công, gửi qua hệ thống bưu chính hoặc nộp hồ sơ trực tuyến tại Cổng dịch vụ công quốc gia  (https://dichvucong.gov.vn).</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05 ngày làm việc; trường hợp phải tiến hành xác minh thì thời hạn không quá 10 ngày làm việc. </w:t>
            </w:r>
          </w:p>
        </w:tc>
        <w:tc>
          <w:p/>
          <w:p>
            <w:pPr>
              <w:spacing w:after="0" w:before="0" w:lineRule="auto" w:line="276"/>
              <w:jc w:val="left"/>
            </w:pPr>
            <w:r>
              <w:rPr>
                <w:rFonts w:ascii="Times New Roman" w:hAnsi="Times New Roman" w:cs="Times New Roman" w:eastAsia="Times New Roman"/>
                <w:b w:val="false"/>
                <w:sz w:val="26"/>
              </w:rPr>
              <w:t xml:space="preserve">Lệ phí : Mức lệ phí cụ thể do Hội đồng nhân dân tỉnh, thành phố trực thuộc Trung ương quyết định. Miễn lệ phí cho người thuộc gia đình có công với cách mạng; người thuộc hộ nghèo; người khuyết tật. Phí cấp bản sao Trích lục khai tử (nếu có yêu cầu) thực hiện theo quy định tại Thông tư số 281/2016/TT-BTC ngày 14/11/2016 của Bộ Tài chính. </w:t>
            </w:r>
          </w:p>
        </w:tc>
        <w:tc>
          <w:p/>
          <w:p>
            <w:pPr>
              <w:spacing w:after="0" w:before="0" w:lineRule="auto" w:line="276"/>
              <w:jc w:val="left"/>
            </w:pPr>
            <w:r>
              <w:rPr>
                <w:rFonts w:ascii="Times New Roman" w:hAnsi="Times New Roman" w:cs="Times New Roman" w:eastAsia="Times New Roman"/>
                <w:b w:val="false"/>
                <w:sz w:val="26"/>
              </w:rPr>
              <w:t>-	Người yêu cầu đăng ký lại khai tử trực tiếp thực hiện hoặc ủy quyền cho người khác thực hiện việc đăng ký lại khai tử tại Trung tâm Phục vụ hành chính công, gửi qua hệ thống bưu chính hoặc nộp hồ sơ trực tuyến tại Cổng dịch vụ công quốc gia  (https://dichvucong.gov.vn).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 xml:space="preserve"> * Giấy tờ phải xuất trình:</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Hộ chiếu/Chứng minh nhân dân/Thẻ căn cước công dân/Thẻ căn cước/Căn cước điện tử/Giấy chứng nhận căn cước hoặc các giấy tờ khác có dán ảnh và thông tin cá nhân do cơ quan có thẩm quyền cấp, còn giá trị sử dụng để chứng minh về nhân thân của người có yêu cầu đăng ký lại khai tử. Trường hợp các thông tin cá nhân trong các giấy tờ này đã có trong CSDLQGVDC, CSDLHTĐT, được hệ thống điền tự động thì không phải tải lên (theo hình thức trực tuyến).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Trường hợp gửi hồ sơ qua hệ thống bưu chính thì phải gửi kèm theo bản sao có chứng thực các giấy tờ phải xuất trình nêu trên.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 Giấy tờ phải nộp:</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Bản sao Giấy chứng tử trước đây được cấp hợp lệ. Nếu không có bản sao Giấy chứng tử trước đây được cấp hợp lệ thì nộp bản sao hồ sơ, giấy tờ liên quan có nội dung chứng minh sự kiện chết.</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Văn bản ủy quyền theo quy định của pháp luật trong trường hợp ủy quyền thực hiện đăng ký lại khai tử. Trường hợp người được ủy quyền là ông, bà, cha, mẹ, con, vợ, chồng, anh, chị, em ruột của người ủy quyền thì văn bản ủy quyền không phải chứng thực.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 Lưu ý:</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Cá nhân có quyền lựa chọn thực hiện thủ tục hành chính về hộ tịch tại cơ quan đăng ký hộ tịch nơi cư trú; nơi cư trú của cá nhân được xác định theo quy định của pháp luật về cư trú. Trường hợp cá nhân lựa chọn thực hiện thủ tục hành chính về hộ tịch không phải tại Ủy ban nhân dân cấp xã nơi thường trú hoặc nơi tạm trú thì Ủy ban nhân dân cấp xã nơi tiếp nhận yêu cầu có trách nhiệm hỗ trợ người dân nộp hồ sơ đăng ký hộ tịch trực tuyến đến đúng cơ quan có thẩm quyền theo quy định.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Đối với giấy tờ nộp, xuất trình nếu người yêu cầu nộp hồ sơ theo hình thức trực tiếp: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Người yêu cầu đăng ký hộ tịch có thể nộp bản sao được chứng thực từ bản chính hoặc bản sao được cấp từ sổ gốc (sau đây gọi là bản sao) hoặc bản chụp kèm theo bản chính, bản điện tử các giấy tờ này, bao gồm cả giấy tờ được tích hợp, hiển thị trên Ứng dụng định danh điện tử (VneID).</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Trường hợp người yêu cầu nộp bản chụp kèm theo bản chính giấy tờ thì người tiếp nhận có trách nhiệm kiểm tra, đối chiếu bản chụp với bản chính và ký xác nhận, không được yêu cầu nộp bản sao giấy tờ đó.</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Đối với giấy tờ xuất trình khi đăng ký hộ tịch, người tiếp nhận có trách nhiệm kiểm tra, đối chiếu, ghi lại thông tin hoặc chụp lại, ký xác nhận để lưu trong hồ sơ và trả lại cho người xuất trình, không được yêu cầu nộp bản sao hoặc bản chụp giấy tờ đó.</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Người tiếp nhận có trách nhiệm tiếp nhận đúng, đủ hồ sơ đăng ký hộ tịch theo quy định của pháp luật hộ tịch, không được yêu cầu người đăng ký hộ tịch nộp thêm giấy tờ mà pháp luật hộ tịch không quy định phải nộp .</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Người tiếp nhận hồ sơ thực hiện khai thác thông tin trong CSDLQGVDC theo quy định pháp luật nếu người yêu cầu đăng ký hộ tịch đã cung cấp họ, chữ đệm, tên; ngày, tháng, năm sinh; số định danh cá nhân/thẻ căn cước công dân/thẻ căn cước/căn cước điện tử. Trường hợp các thông tin cần khai thác không có trong CSDLQGVDC thì đề nghị người yêu cầu kê khai đầy đủ.</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Trường hợp người yêu cầu đăng ký hộ tịch cung cấp thông tin về giấy tờ hộ tịch của cá nhân đã được đăng ký, cơ quan đăng ký hộ tịch có trách nhiệm tra cứu thông tin trên Hệ thống thông tin giải quyết thủ tục hành chính cấp tỉnh thông qua kết nối với Cơ sở dữ liệu hộ tịch điện tử, CSDLQGVDC. Trường hợp không tra cứu được do không có thông tin trong Cơ sở dữ liệu hộ tịch điện tử, CSDLQGVDC thì cơ quan đăng ký hộ tịch yêu cầu người đi đăng ký hộ tịch nộp/xuất trình giấy tờ liên quan để chứng minh.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Đối với giấy tờ gửi kèm theo nếu người yêu cầu nộp hồ sơ theo hình thức trực tuyến: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chụp các giấy tờ gửi kèm theo hồ sơ đăng ký lại khai tử trực tuyến phải bảo đảm rõ nét, đầy đủ, toàn vẹn về nội dung, là bản chụp bằng máy ảnh, điện thoại hoặc được chụp, được quét bằng thiết bị điện tử, từ giấy tờ được cấp hợp lệ, còn giá trị sử dụng.</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Trường hợp giấy tờ, tài liệu phải gửi kèm trong hồ sơ đăng ký lại khai tử trực tuyến đã có bản sao điện tử hoặc đã có bản điện tử giấy tờ hộ tịch thì người yêu cầu được sử dụng bản điện tử này.</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Trường hợp người yêu cầu đăng k‎ý hộ tịch lựa chọn nhận kết quả tại Trung tâm Phục vụ hành chính công thì người yêu cầu đăng ký hộ tịch phải xuất trình giấy tờ tuỳ thân, nộp các giấy tờ là thành phần hồ sơ theo quy định; Trường hợp người yêu cầu đăng ký hộ tịch không lựa chọn nhận kết quả tại Trung tâm Phục vụ hành chính công thì người yêu cầu đăng ký hộ tịch nộp các giấy tờ là thành phần hồ sơ theo quy định trước khi nhận kết quả.</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Trường hợp người yêu cầu đăng ký hộ tịch không cung cấp được giấy tờ theo quy định hoặc giấy tờ nộp, xuất trình bị tẩy xóa, sửa chữa, làm giả thì cơ quan đăng ký hộ tịch có thẩm quyền hủy bỏ kết quả đăng ký hộ tịch.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tờ do cơ quan có thẩm quyền của nước ngoài cấp, công chứng hoặc xác nhận để sử dụng cho việc đăng ký hộ tịch tại Việt Nam phải được hợp pháp hóa lãnh sự theo quy định của pháp luật, trừ trường hợp được miễn theo điều ước quốc tế mà Việt Nam là thành viên.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Tờ khai đăng ký lại khai tử theo mẫu  (nếu người có yêu cầu lựa chọn nộp hồ sơ theo hình thức trực tiếp hoặc gửi hồ sơ qua hệ thống bưu chính);</w:t>
            </w:r>
          </w:p>
        </w:tc>
        <w:tc>
          <w:p/>
          <w:p>
            <w:pPr>
              <w:spacing w:after="0" w:before="0" w:lineRule="auto" w:line="276"/>
              <w:jc w:val="left"/>
            </w:pPr>
            <w:r>
              <w:rPr>
                <w:rFonts w:ascii="Times New Roman" w:hAnsi="Times New Roman" w:cs="Times New Roman" w:eastAsia="Times New Roman"/>
                <w:b w:val="false"/>
                <w:sz w:val="26"/>
              </w:rPr>
              <w:t>16.TKngklikhait.doc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Mẫu hộ tịch điện tử tương tác thực hiện đăng ký lại khai tử</w:t>
            </w:r>
          </w:p>
        </w:tc>
        <w:tc>
          <w:p/>
          <w:p>
            <w:pPr>
              <w:spacing w:after="0" w:before="0" w:lineRule="auto" w:line="276"/>
              <w:jc w:val="left"/>
            </w:pPr>
            <w:r>
              <w:rPr>
                <w:rFonts w:ascii="Times New Roman" w:hAnsi="Times New Roman" w:cs="Times New Roman" w:eastAsia="Times New Roman"/>
                <w:b w:val="false"/>
                <w:sz w:val="26"/>
              </w:rPr>
              <w:t>16.DTTT-ngklikhait.doc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Người có yêu cầu đăng ký lại khai tử thực hiện việc nộp/xuất trình (theo hình thức trực tiếp) hoặc tải lên (theo hình thức trực tuyến) các giấy tờ sau:</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xã</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Ủy ban nhân dân cấp xã</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Trích lục khai tử</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60/2014/QH13</w:t>
            </w:r>
          </w:p>
        </w:tc>
        <w:tc>
          <w:p/>
          <w:p>
            <w:pPr>
              <w:spacing w:after="0" w:before="0" w:lineRule="auto" w:line="276"/>
              <w:jc w:val="left"/>
            </w:pPr>
            <w:r>
              <w:rPr>
                <w:rFonts w:ascii="Times New Roman" w:hAnsi="Times New Roman" w:cs="Times New Roman" w:eastAsia="Times New Roman"/>
                <w:b w:val="false"/>
                <w:sz w:val="26"/>
              </w:rPr>
              <w:t>Luật 60/2014/QH13</w:t>
            </w:r>
          </w:p>
        </w:tc>
        <w:tc>
          <w:p/>
          <w:p>
            <w:pPr>
              <w:spacing w:after="0" w:before="0" w:lineRule="auto" w:line="276"/>
              <w:jc w:val="left"/>
            </w:pPr>
            <w:r>
              <w:rPr>
                <w:rFonts w:ascii="Times New Roman" w:hAnsi="Times New Roman" w:cs="Times New Roman" w:eastAsia="Times New Roman"/>
                <w:b w:val="false"/>
                <w:sz w:val="26"/>
              </w:rPr>
              <w:t>20-11-2014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123/2015/NĐ-CP</w:t>
            </w:r>
          </w:p>
        </w:tc>
        <w:tc>
          <w:p/>
          <w:p>
            <w:pPr>
              <w:spacing w:after="0" w:before="0" w:lineRule="auto" w:line="276"/>
              <w:jc w:val="left"/>
            </w:pPr>
            <w:r>
              <w:rPr>
                <w:rFonts w:ascii="Times New Roman" w:hAnsi="Times New Roman" w:cs="Times New Roman" w:eastAsia="Times New Roman"/>
                <w:b w:val="false"/>
                <w:sz w:val="26"/>
              </w:rPr>
              <w:t>Nghị định 123/2015/NĐ-CP - Quy định chi tiết một số điều và biện pháp thi hành Luật Hộ tịch</w:t>
            </w:r>
          </w:p>
        </w:tc>
        <w:tc>
          <w:p/>
          <w:p>
            <w:pPr>
              <w:spacing w:after="0" w:before="0" w:lineRule="auto" w:line="276"/>
              <w:jc w:val="left"/>
            </w:pPr>
            <w:r>
              <w:rPr>
                <w:rFonts w:ascii="Times New Roman" w:hAnsi="Times New Roman" w:cs="Times New Roman" w:eastAsia="Times New Roman"/>
                <w:b w:val="false"/>
                <w:sz w:val="26"/>
              </w:rPr>
              <w:t>15-11-2015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Thông tư số 281/2016/TT-BTC</w:t>
            </w:r>
          </w:p>
        </w:tc>
        <w:tc>
          <w:p/>
          <w:p>
            <w:pPr>
              <w:spacing w:after="0" w:before="0" w:lineRule="auto" w:line="276"/>
              <w:jc w:val="left"/>
            </w:pPr>
            <w:r>
              <w:rPr>
                <w:rFonts w:ascii="Times New Roman" w:hAnsi="Times New Roman" w:cs="Times New Roman" w:eastAsia="Times New Roman"/>
                <w:b w:val="false"/>
                <w:sz w:val="26"/>
              </w:rPr>
              <w:t>quy định mức thu, chế độ thu, nộp, quản lý và sử dụng phí khai thác, sử dụng thông tin trong cơ sở dữ liệu hộ tịch, phí xác nhận có quốc tịch Việt Nam, phí xác nhận là người gốc Việt Nam, lệ phí quốc tịch</w:t>
            </w:r>
          </w:p>
        </w:tc>
        <w:tc>
          <w:p/>
          <w:p>
            <w:pPr>
              <w:spacing w:after="0" w:before="0" w:lineRule="auto" w:line="276"/>
              <w:jc w:val="left"/>
            </w:pPr>
            <w:r>
              <w:rPr>
                <w:rFonts w:ascii="Times New Roman" w:hAnsi="Times New Roman" w:cs="Times New Roman" w:eastAsia="Times New Roman"/>
                <w:b w:val="false"/>
                <w:sz w:val="26"/>
              </w:rPr>
              <w:t>14-11-2016</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04/2020/TT-BTP</w:t>
            </w:r>
          </w:p>
        </w:tc>
        <w:tc>
          <w:p/>
          <w:p>
            <w:pPr>
              <w:spacing w:after="0" w:before="0" w:lineRule="auto" w:line="276"/>
              <w:jc w:val="left"/>
            </w:pPr>
            <w:r>
              <w:rPr>
                <w:rFonts w:ascii="Times New Roman" w:hAnsi="Times New Roman" w:cs="Times New Roman" w:eastAsia="Times New Roman"/>
                <w:b w:val="false"/>
                <w:sz w:val="26"/>
              </w:rPr>
              <w:t>Thông tư 04/2020/TT-BTP</w:t>
            </w:r>
          </w:p>
        </w:tc>
        <w:tc>
          <w:p/>
          <w:p>
            <w:pPr>
              <w:spacing w:after="0" w:before="0" w:lineRule="auto" w:line="276"/>
              <w:jc w:val="left"/>
            </w:pPr>
            <w:r>
              <w:rPr>
                <w:rFonts w:ascii="Times New Roman" w:hAnsi="Times New Roman" w:cs="Times New Roman" w:eastAsia="Times New Roman"/>
                <w:b w:val="false"/>
                <w:sz w:val="26"/>
              </w:rPr>
              <w:t>28-05-2020</w:t>
            </w:r>
          </w:p>
        </w:tc>
        <w:tc>
          <w:p/>
        </w:tc>
      </w:tr>
      <w:tr>
        <w:tc>
          <w:p/>
          <w:p>
            <w:pPr>
              <w:spacing w:after="0" w:before="0" w:lineRule="auto" w:line="276"/>
              <w:jc w:val="left"/>
            </w:pPr>
            <w:r>
              <w:rPr>
                <w:rFonts w:ascii="Times New Roman" w:hAnsi="Times New Roman" w:cs="Times New Roman" w:eastAsia="Times New Roman"/>
                <w:b w:val="false"/>
                <w:sz w:val="26"/>
              </w:rPr>
              <w:t>85/2019/TT-BTC</w:t>
            </w:r>
          </w:p>
        </w:tc>
        <w:tc>
          <w:p/>
          <w:p>
            <w:pPr>
              <w:spacing w:after="0" w:before="0" w:lineRule="auto" w:line="276"/>
              <w:jc w:val="left"/>
            </w:pPr>
            <w:r>
              <w:rPr>
                <w:rFonts w:ascii="Times New Roman" w:hAnsi="Times New Roman" w:cs="Times New Roman" w:eastAsia="Times New Roman"/>
                <w:b w:val="false"/>
                <w:sz w:val="26"/>
              </w:rPr>
              <w:t>Thông tư 85/2019/TT-BTC</w:t>
            </w:r>
          </w:p>
        </w:tc>
        <w:tc>
          <w:p/>
          <w:p>
            <w:pPr>
              <w:spacing w:after="0" w:before="0" w:lineRule="auto" w:line="276"/>
              <w:jc w:val="left"/>
            </w:pPr>
            <w:r>
              <w:rPr>
                <w:rFonts w:ascii="Times New Roman" w:hAnsi="Times New Roman" w:cs="Times New Roman" w:eastAsia="Times New Roman"/>
                <w:b w:val="false"/>
                <w:sz w:val="26"/>
              </w:rPr>
              <w:t>29-11-2019</w:t>
            </w:r>
          </w:p>
        </w:tc>
        <w:tc>
          <w:p/>
        </w:tc>
      </w:tr>
      <w:tr>
        <w:tc>
          <w:p/>
          <w:p>
            <w:pPr>
              <w:spacing w:after="0" w:before="0" w:lineRule="auto" w:line="276"/>
              <w:jc w:val="left"/>
            </w:pPr>
            <w:r>
              <w:rPr>
                <w:rFonts w:ascii="Times New Roman" w:hAnsi="Times New Roman" w:cs="Times New Roman" w:eastAsia="Times New Roman"/>
                <w:b w:val="false"/>
                <w:sz w:val="26"/>
              </w:rPr>
              <w:t>01/2022/TT-BTP</w:t>
            </w:r>
          </w:p>
        </w:tc>
        <w:tc>
          <w:p/>
          <w:p>
            <w:pPr>
              <w:spacing w:after="0" w:before="0" w:lineRule="auto" w:line="276"/>
              <w:jc w:val="left"/>
            </w:pPr>
            <w:r>
              <w:rPr>
                <w:rFonts w:ascii="Times New Roman" w:hAnsi="Times New Roman" w:cs="Times New Roman" w:eastAsia="Times New Roman"/>
                <w:b w:val="false"/>
                <w:sz w:val="26"/>
              </w:rPr>
              <w:t>Thông tư sửa đổi</w:t>
            </w:r>
          </w:p>
        </w:tc>
        <w:tc>
          <w:p/>
          <w:p>
            <w:pPr>
              <w:spacing w:after="0" w:before="0" w:lineRule="auto" w:line="276"/>
              <w:jc w:val="left"/>
            </w:pPr>
            <w:r>
              <w:rPr>
                <w:rFonts w:ascii="Times New Roman" w:hAnsi="Times New Roman" w:cs="Times New Roman" w:eastAsia="Times New Roman"/>
                <w:b w:val="false"/>
                <w:sz w:val="26"/>
              </w:rPr>
              <w:t>04-01-2022</w:t>
            </w:r>
          </w:p>
        </w:tc>
        <w:tc>
          <w:p/>
        </w:tc>
      </w:tr>
      <w:tr>
        <w:tc>
          <w:p/>
          <w:p>
            <w:pPr>
              <w:spacing w:after="0" w:before="0" w:lineRule="auto" w:line="276"/>
              <w:jc w:val="left"/>
            </w:pPr>
            <w:r>
              <w:rPr>
                <w:rFonts w:ascii="Times New Roman" w:hAnsi="Times New Roman" w:cs="Times New Roman" w:eastAsia="Times New Roman"/>
                <w:b w:val="false"/>
                <w:sz w:val="26"/>
              </w:rPr>
              <w:t>106/2021/TT-BTC</w:t>
            </w:r>
          </w:p>
        </w:tc>
        <w:tc>
          <w:p/>
          <w:p>
            <w:pPr>
              <w:spacing w:after="0" w:before="0" w:lineRule="auto" w:line="276"/>
              <w:jc w:val="left"/>
            </w:pPr>
            <w:r>
              <w:rPr>
                <w:rFonts w:ascii="Times New Roman" w:hAnsi="Times New Roman" w:cs="Times New Roman" w:eastAsia="Times New Roman"/>
                <w:b w:val="false"/>
                <w:sz w:val="26"/>
              </w:rPr>
              <w:t>Thông tư 106/2021/TT-BTC</w:t>
            </w:r>
          </w:p>
        </w:tc>
        <w:tc>
          <w:p/>
          <w:p>
            <w:pPr>
              <w:spacing w:after="0" w:before="0" w:lineRule="auto" w:line="276"/>
              <w:jc w:val="left"/>
            </w:pPr>
            <w:r>
              <w:rPr>
                <w:rFonts w:ascii="Times New Roman" w:hAnsi="Times New Roman" w:cs="Times New Roman" w:eastAsia="Times New Roman"/>
                <w:b w:val="false"/>
                <w:sz w:val="26"/>
              </w:rPr>
              <w:t>26-11-2021</w:t>
            </w:r>
          </w:p>
        </w:tc>
        <w:tc>
          <w:p/>
        </w:tc>
      </w:tr>
      <w:tr>
        <w:tc>
          <w:p/>
          <w:p>
            <w:pPr>
              <w:spacing w:after="0" w:before="0" w:lineRule="auto" w:line="276"/>
              <w:jc w:val="left"/>
            </w:pPr>
            <w:r>
              <w:rPr>
                <w:rFonts w:ascii="Times New Roman" w:hAnsi="Times New Roman" w:cs="Times New Roman" w:eastAsia="Times New Roman"/>
                <w:b w:val="false"/>
                <w:sz w:val="26"/>
              </w:rPr>
              <w:t>87/2020/NĐ-CP</w:t>
            </w:r>
          </w:p>
        </w:tc>
        <w:tc>
          <w:p/>
          <w:p>
            <w:pPr>
              <w:spacing w:after="0" w:before="0" w:lineRule="auto" w:line="276"/>
              <w:jc w:val="left"/>
            </w:pPr>
            <w:r>
              <w:rPr>
                <w:rFonts w:ascii="Times New Roman" w:hAnsi="Times New Roman" w:cs="Times New Roman" w:eastAsia="Times New Roman"/>
                <w:b w:val="false"/>
                <w:sz w:val="26"/>
              </w:rPr>
              <w:t>Nghị định 87/2020/NĐ-CP</w:t>
            </w:r>
          </w:p>
        </w:tc>
        <w:tc>
          <w:p/>
          <w:p>
            <w:pPr>
              <w:spacing w:after="0" w:before="0" w:lineRule="auto" w:line="276"/>
              <w:jc w:val="left"/>
            </w:pPr>
            <w:r>
              <w:rPr>
                <w:rFonts w:ascii="Times New Roman" w:hAnsi="Times New Roman" w:cs="Times New Roman" w:eastAsia="Times New Roman"/>
                <w:b w:val="false"/>
                <w:sz w:val="26"/>
              </w:rPr>
              <w:t>28-07-2020</w:t>
            </w:r>
          </w:p>
        </w:tc>
        <w:tc>
          <w:p/>
        </w:tc>
      </w:tr>
      <w:tr>
        <w:tc>
          <w:p/>
          <w:p>
            <w:pPr>
              <w:spacing w:after="0" w:before="0" w:lineRule="auto" w:line="276"/>
              <w:jc w:val="left"/>
            </w:pPr>
            <w:r>
              <w:rPr>
                <w:rFonts w:ascii="Times New Roman" w:hAnsi="Times New Roman" w:cs="Times New Roman" w:eastAsia="Times New Roman"/>
                <w:b w:val="false"/>
                <w:sz w:val="26"/>
              </w:rPr>
              <w:t>104/2022/NĐ-CP</w:t>
            </w:r>
          </w:p>
        </w:tc>
        <w:tc>
          <w:p/>
          <w:p>
            <w:pPr>
              <w:spacing w:after="0" w:before="0" w:lineRule="auto" w:line="276"/>
              <w:jc w:val="left"/>
            </w:pPr>
            <w:r>
              <w:rPr>
                <w:rFonts w:ascii="Times New Roman" w:hAnsi="Times New Roman" w:cs="Times New Roman" w:eastAsia="Times New Roman"/>
                <w:b w:val="false"/>
                <w:sz w:val="26"/>
              </w:rPr>
              <w:t>Nghị định sửa đổi, bổ sung một số điều của các nghị định liên quan đến việc nộp, xuất trình sổ hộ khẩu, sổ tạm trú giấy khi thực hiện thủ tục hành chính, cung cấp dịch vụ công</w:t>
            </w:r>
          </w:p>
        </w:tc>
        <w:tc>
          <w:p/>
          <w:p>
            <w:pPr>
              <w:spacing w:after="0" w:before="0" w:lineRule="auto" w:line="276"/>
              <w:jc w:val="left"/>
            </w:pPr>
            <w:r>
              <w:rPr>
                <w:rFonts w:ascii="Times New Roman" w:hAnsi="Times New Roman" w:cs="Times New Roman" w:eastAsia="Times New Roman"/>
                <w:b w:val="false"/>
                <w:sz w:val="26"/>
              </w:rPr>
              <w:t>21-12-2022</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Thông tư số 03/2023/TT-BTP</w:t>
            </w:r>
          </w:p>
        </w:tc>
        <w:tc>
          <w:p/>
          <w:p>
            <w:pPr>
              <w:spacing w:after="0" w:before="0" w:lineRule="auto" w:line="276"/>
              <w:jc w:val="left"/>
            </w:pPr>
            <w:r>
              <w:rPr>
                <w:rFonts w:ascii="Times New Roman" w:hAnsi="Times New Roman" w:cs="Times New Roman" w:eastAsia="Times New Roman"/>
                <w:b w:val="false"/>
                <w:sz w:val="26"/>
              </w:rPr>
              <w:t>Thông tư số 03/2023/TT-BTP ngày 02/8/2023 của Bộ trưởng Bộ Tư pháp</w:t>
            </w:r>
          </w:p>
        </w:tc>
        <w:tc>
          <w:p/>
          <w:p>
            <w:pPr>
              <w:spacing w:after="0" w:before="0" w:lineRule="auto" w:line="276"/>
              <w:jc w:val="left"/>
            </w:pPr>
            <w:r>
              <w:rPr>
                <w:rFonts w:ascii="Times New Roman" w:hAnsi="Times New Roman" w:cs="Times New Roman" w:eastAsia="Times New Roman"/>
                <w:b w:val="false"/>
                <w:sz w:val="26"/>
              </w:rPr>
              <w:t>02-08-2023</w:t>
            </w:r>
          </w:p>
        </w:tc>
        <w:tc>
          <w:p/>
          <w:p>
            <w:pPr>
              <w:spacing w:after="0" w:before="0" w:lineRule="auto" w:line="276"/>
              <w:jc w:val="left"/>
            </w:pPr>
            <w:r>
              <w:rPr>
                <w:rFonts w:ascii="Times New Roman" w:hAnsi="Times New Roman" w:cs="Times New Roman" w:eastAsia="Times New Roman"/>
                <w:b w:val="false"/>
                <w:sz w:val="26"/>
              </w:rPr>
              <w:t>Bộ trưởng Bộ Tư pháp</w:t>
            </w:r>
          </w:p>
        </w:tc>
      </w:tr>
      <w:tr>
        <w:tc>
          <w:p/>
          <w:p>
            <w:pPr>
              <w:spacing w:after="0" w:before="0" w:lineRule="auto" w:line="276"/>
              <w:jc w:val="left"/>
            </w:pPr>
            <w:r>
              <w:rPr>
                <w:rFonts w:ascii="Times New Roman" w:hAnsi="Times New Roman" w:cs="Times New Roman" w:eastAsia="Times New Roman"/>
                <w:b w:val="false"/>
                <w:sz w:val="26"/>
              </w:rPr>
              <w:t>04/2024/TT-BTP</w:t>
            </w:r>
          </w:p>
        </w:tc>
        <w:tc>
          <w:p/>
          <w:p>
            <w:pPr>
              <w:spacing w:after="0" w:before="0" w:lineRule="auto" w:line="276"/>
              <w:jc w:val="left"/>
            </w:pPr>
            <w:r>
              <w:rPr>
                <w:rFonts w:ascii="Times New Roman" w:hAnsi="Times New Roman" w:cs="Times New Roman" w:eastAsia="Times New Roman"/>
                <w:b w:val="false"/>
                <w:sz w:val="26"/>
              </w:rPr>
              <w:t>Sửa đổi, bổ sung một số điều của Thông tư số 02/2020/TT-BTP ngày 08/4/2020 của Bộ trưởng Bộ Tư pháp ban hành, hướng dẫn sử dụng, quản lý mẫu sổ quốc tịch và mẫu giấy tờ về quốc tịch và Thông tư số 04/2020/TT-BTP ngày 28/5/2020 của Bộ trưởng Bộ Tư pháp quy định chi tiết thi hành một số điều của Luật Hộ tịch và Nghị định  số 123/2015/NĐ-CP ngày 15/11/2015 của Chính phủ quy định chi tiết  một số điều và biện pháp thi hành Luật Hộ tịch</w:t>
            </w:r>
          </w:p>
        </w:tc>
        <w:tc>
          <w:p/>
          <w:p>
            <w:pPr>
              <w:spacing w:after="0" w:before="0" w:lineRule="auto" w:line="276"/>
              <w:jc w:val="left"/>
            </w:pPr>
            <w:r>
              <w:rPr>
                <w:rFonts w:ascii="Times New Roman" w:hAnsi="Times New Roman" w:cs="Times New Roman" w:eastAsia="Times New Roman"/>
                <w:b w:val="false"/>
                <w:sz w:val="26"/>
              </w:rPr>
              <w:t>06-06-2024</w:t>
            </w:r>
          </w:p>
        </w:tc>
        <w:tc>
          <w:p/>
          <w:p>
            <w:pPr>
              <w:spacing w:after="0" w:before="0" w:lineRule="auto" w:line="276"/>
              <w:jc w:val="left"/>
            </w:pPr>
            <w:r>
              <w:rPr>
                <w:rFonts w:ascii="Times New Roman" w:hAnsi="Times New Roman" w:cs="Times New Roman" w:eastAsia="Times New Roman"/>
                <w:b w:val="false"/>
                <w:sz w:val="26"/>
              </w:rPr>
              <w:t>Bộ trưởng Bộ Tư pháp</w:t>
            </w:r>
          </w:p>
        </w:tc>
      </w:tr>
      <w:tr>
        <w:tc>
          <w:p/>
          <w:p>
            <w:pPr>
              <w:spacing w:after="0" w:before="0" w:lineRule="auto" w:line="276"/>
              <w:jc w:val="left"/>
            </w:pPr>
            <w:r>
              <w:rPr>
                <w:rFonts w:ascii="Times New Roman" w:hAnsi="Times New Roman" w:cs="Times New Roman" w:eastAsia="Times New Roman"/>
                <w:b w:val="false"/>
                <w:sz w:val="26"/>
              </w:rPr>
              <w:t>07/2025/NĐ-CP</w:t>
            </w:r>
          </w:p>
        </w:tc>
        <w:tc>
          <w:p/>
          <w:p>
            <w:pPr>
              <w:spacing w:after="0" w:before="0" w:lineRule="auto" w:line="276"/>
              <w:jc w:val="left"/>
            </w:pPr>
            <w:r>
              <w:rPr>
                <w:rFonts w:ascii="Times New Roman" w:hAnsi="Times New Roman" w:cs="Times New Roman" w:eastAsia="Times New Roman"/>
                <w:b w:val="false"/>
                <w:sz w:val="26"/>
              </w:rPr>
              <w:t>Nghị định số 07/2025/NĐ-CP ngày 09/01/2025 của Chính phủ sửa đổi, bổ sung một số điều của các Nghị định trong lĩnh vực hộ tịch, quốc tịch, chứng thực.</w:t>
            </w:r>
          </w:p>
        </w:tc>
        <w:tc>
          <w:p/>
          <w:p>
            <w:pPr>
              <w:spacing w:after="0" w:before="0" w:lineRule="auto" w:line="276"/>
              <w:jc w:val="left"/>
            </w:pPr>
            <w:r>
              <w:rPr>
                <w:rFonts w:ascii="Times New Roman" w:hAnsi="Times New Roman" w:cs="Times New Roman" w:eastAsia="Times New Roman"/>
                <w:b w:val="false"/>
                <w:sz w:val="26"/>
              </w:rPr>
              <w:t>09-01-2025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120/2025/NĐ-CP</w:t>
            </w:r>
          </w:p>
        </w:tc>
        <w:tc>
          <w:p/>
          <w:p>
            <w:pPr>
              <w:spacing w:after="0" w:before="0" w:lineRule="auto" w:line="276"/>
              <w:jc w:val="left"/>
            </w:pPr>
            <w:r>
              <w:rPr>
                <w:rFonts w:ascii="Times New Roman" w:hAnsi="Times New Roman" w:cs="Times New Roman" w:eastAsia="Times New Roman"/>
                <w:b w:val="false"/>
                <w:sz w:val="26"/>
              </w:rPr>
              <w:t>Nghị định số 120/2025/NĐ-CP ngày 11/6/2025 của Chính phủ quy định về phân định thẩm quyền của chính quyền địa phương 02 cấp trong lĩnh vực quản lý nhà nước của Bộ Tư pháp.</w:t>
            </w:r>
          </w:p>
        </w:tc>
        <w:tc>
          <w:p/>
          <w:p>
            <w:pPr>
              <w:spacing w:after="0" w:before="0" w:lineRule="auto" w:line="276"/>
              <w:jc w:val="left"/>
            </w:pPr>
            <w:r>
              <w:rPr>
                <w:rFonts w:ascii="Times New Roman" w:hAnsi="Times New Roman" w:cs="Times New Roman" w:eastAsia="Times New Roman"/>
                <w:b w:val="false"/>
                <w:sz w:val="26"/>
              </w:rPr>
              <w:t>11-06-2025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08/2025/TT-BTP</w:t>
            </w:r>
          </w:p>
        </w:tc>
        <w:tc>
          <w:p/>
          <w:p>
            <w:pPr>
              <w:spacing w:after="0" w:before="0" w:lineRule="auto" w:line="276"/>
              <w:jc w:val="left"/>
            </w:pPr>
            <w:r>
              <w:rPr>
                <w:rFonts w:ascii="Times New Roman" w:hAnsi="Times New Roman" w:cs="Times New Roman" w:eastAsia="Times New Roman"/>
                <w:b w:val="false"/>
                <w:sz w:val="26"/>
              </w:rPr>
              <w:t>Thông tư số 08/2025/TT-BTP ngày 12/6/2025 của Bộ trưởng Bộ Tư pháp quy định về phân định thẩm quyền của chính quyền địa phương 02 cấp và phân cấp trong lĩnh vực quản lý nhà nước của Bộ Tư pháp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Việc khai tử của công dân Việt Nam định cư ở nước ngoài hoặc của người nước ngoài đã đăng ký tại cơ quan có thẩm quyền của Việt Nam trước ngày 01/01/2016 nhưng Sổ đăng ký khai tử và bản chính Giấy chứng tử đều bị mất.</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https://thutuc.dichvucong.gov.vn/p/home/dvc-tthc-thu-tuc-hanh-chinh-chi-tiet.html?ma_thu_tuc=1514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2025-11-27T16:30:49Z</dcterms:created>
  <dc:creator>Apache POI</dc:creator>
</cp:coreProperties>
</file>