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2.000519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461/QĐ-BXD</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Xác nhận hàng năm Giấy chứng nhận phù hợp của cảng biển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Hàng hải và đường thủy nội địa</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b) Giải quyết TTHC</w:t>
      </w:r>
    </w:p>
    <w:p>
      <w:pPr>
        <w:spacing w:after="0" w:before="0" w:lineRule="auto" w:line="276"/>
        <w:jc w:val="both"/>
      </w:pPr>
      <w:r>
        <w:rPr>
          <w:rFonts w:ascii="Times New Roman" w:hAnsi="Times New Roman" w:cs="Times New Roman" w:eastAsia="Times New Roman"/>
          <w:b w:val="false"/>
          <w:sz w:val="26"/>
        </w:rPr>
        <w:t>Cục Hàng hải và Đường thủy Việt Nam tiến hành kiểm tra hồ sơ nếu hồ sơ đáp ứng yêu cầu của Bộ luật ISPS thì cấp xác nhận hàng năm.</w:t>
      </w:r>
    </w:p>
    <w:p>
      <w:pPr>
        <w:spacing w:after="0" w:before="0" w:lineRule="auto" w:line="276"/>
        <w:jc w:val="both"/>
      </w:pPr>
      <w:r>
        <w:rPr>
          <w:rFonts w:ascii="Times New Roman" w:hAnsi="Times New Roman" w:cs="Times New Roman" w:eastAsia="Times New Roman"/>
          <w:b w:val="false"/>
          <w:sz w:val="26"/>
        </w:rPr>
        <w:t>Cục Hàng hải và Đường thủy Việt Nam tiếp nhận và xem xét hồ sơ; nếu hồ sơ chưa đầy đủ thì hướng dẫn cho Doanh nghiệp cảng biển bổ sung hoàn chỉnh, nếu hồ sơ đầy đủ thì ghi giấy hẹn theo quy định.</w:t>
      </w:r>
    </w:p>
    <w:p>
      <w:pPr>
        <w:shd w:val="clear" w:color="auto" w:fill="F2F6F9"/>
        <w:spacing w:after="0" w:before="120" w:lineRule="auto" w:line="276"/>
        <w:jc w:val="both"/>
      </w:pPr>
      <w:r>
        <w:rPr>
          <w:rFonts w:ascii="Times New Roman" w:hAnsi="Times New Roman" w:cs="Times New Roman" w:eastAsia="Times New Roman"/>
          <w:b w:val="true"/>
          <w:sz w:val="26"/>
        </w:rPr>
        <w:t>a) Nộp hồ sơ TTHC</w:t>
      </w:r>
    </w:p>
    <w:p>
      <w:pPr>
        <w:spacing w:after="0" w:before="0" w:lineRule="auto" w:line="276"/>
        <w:jc w:val="both"/>
      </w:pPr>
      <w:r>
        <w:rPr>
          <w:rFonts w:ascii="Times New Roman" w:hAnsi="Times New Roman" w:cs="Times New Roman" w:eastAsia="Times New Roman"/>
          <w:b w:val="false"/>
          <w:sz w:val="26"/>
        </w:rPr>
        <w:t>Doanh nghiệp cảng biển nộp hồ sơ đề nghị xác nhận hàng năm Giấy chứng nhận phù hợp của cảng biển đến Cục Hàng hải và Đường thủy Việt Nam.</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Lệ phí : 4000000 Đồng</w:t>
              <w:t xml:space="preserve"> (Phí	4.000.000 đồng/lần)</w:t>
            </w:r>
          </w:p>
        </w:tc>
        <w:tc>
          <w:p/>
          <w:p>
            <w:pPr>
              <w:spacing w:after="0" w:before="0" w:lineRule="auto" w:line="276"/>
              <w:jc w:val="left"/>
            </w:pPr>
            <w:r>
              <w:rPr>
                <w:rFonts w:ascii="Times New Roman" w:hAnsi="Times New Roman" w:cs="Times New Roman" w:eastAsia="Times New Roman"/>
                <w:b w:val="false"/>
                <w:sz w:val="26"/>
              </w:rPr>
              <w:t>Chậm nhất 05 ngày làm việc kể từ ngày nhận đủ hồ sơ theo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Lệ phí : 4000000 Đồng</w:t>
              <w:t xml:space="preserve"> (Phí	4.000.000 đồng/lần)</w:t>
            </w:r>
          </w:p>
        </w:tc>
        <w:tc>
          <w:p/>
          <w:p>
            <w:pPr>
              <w:spacing w:after="0" w:before="0" w:lineRule="auto" w:line="276"/>
              <w:jc w:val="left"/>
            </w:pPr>
            <w:r>
              <w:rPr>
                <w:rFonts w:ascii="Times New Roman" w:hAnsi="Times New Roman" w:cs="Times New Roman" w:eastAsia="Times New Roman"/>
                <w:b w:val="false"/>
                <w:sz w:val="26"/>
              </w:rPr>
              <w:t>Chậm nhất 05 ngày làm việc kể từ ngày nhận đủ hồ sơ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Công văn đề nghị kiểm tra, xác nhận hàng năm Giấy chứng nhận phù hợp của cảng biển của doanh nghiệp cảng;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01 bản Đánh giá nội bộ an ninh cảng biển</w:t>
            </w:r>
          </w:p>
        </w:tc>
        <w:tc>
          <w:p/>
          <w:p>
            <w:pPr>
              <w:spacing w:after="0" w:before="0" w:lineRule="auto" w:line="276"/>
              <w:jc w:val="left"/>
            </w:pPr>
            <w:r>
              <w:rPr>
                <w:rFonts w:ascii="Times New Roman" w:hAnsi="Times New Roman" w:cs="Times New Roman" w:eastAsia="Times New Roman"/>
                <w:b w:val="false"/>
                <w:sz w:val="26"/>
              </w:rPr>
              <w:t>danh gia an ninh noi bo.doc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Biên bản họp xem xét, đánh giá Đánh giá nội bộ của các cơ quan quản lý nhà nước có liên quan tại khu vực cảng biển;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Biên bản cuộc tập huấn hoặc diễn tập hoặc huấn luyện theo chương trình của Kế hoạch an ninh cảng biển;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chính Giấy chứng nhận phù hợp của cảng biển</w:t>
            </w:r>
          </w:p>
        </w:tc>
        <w:tc>
          <w:p/>
          <w:p>
            <w:pPr>
              <w:spacing w:after="0" w:before="0" w:lineRule="auto" w:line="276"/>
              <w:jc w:val="left"/>
            </w:pPr>
            <w:r>
              <w:rPr>
                <w:rFonts w:ascii="Times New Roman" w:hAnsi="Times New Roman" w:cs="Times New Roman" w:eastAsia="Times New Roman"/>
                <w:b w:val="false"/>
                <w:sz w:val="26"/>
              </w:rPr>
              <w:t>GCN phù hợp cảng biển.doc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Hàng hải và Đường thủy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Cục Hàng hải và Đường thủy Việt Nam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phù hợp của cảng biển được xác nhận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40/2005/QH11</w:t>
            </w:r>
          </w:p>
        </w:tc>
        <w:tc>
          <w:p/>
          <w:p>
            <w:pPr>
              <w:spacing w:after="0" w:before="0" w:lineRule="auto" w:line="276"/>
              <w:jc w:val="left"/>
            </w:pPr>
            <w:r>
              <w:rPr>
                <w:rFonts w:ascii="Times New Roman" w:hAnsi="Times New Roman" w:cs="Times New Roman" w:eastAsia="Times New Roman"/>
                <w:b w:val="false"/>
                <w:sz w:val="26"/>
              </w:rPr>
              <w:t>Hàng hải Việt Nam</w:t>
            </w:r>
          </w:p>
        </w:tc>
        <w:tc>
          <w:p/>
          <w:p>
            <w:pPr>
              <w:spacing w:after="0" w:before="0" w:lineRule="auto" w:line="276"/>
              <w:jc w:val="left"/>
            </w:pPr>
            <w:r>
              <w:rPr>
                <w:rFonts w:ascii="Times New Roman" w:hAnsi="Times New Roman" w:cs="Times New Roman" w:eastAsia="Times New Roman"/>
                <w:b w:val="false"/>
                <w:sz w:val="26"/>
              </w:rPr>
              <w:t>14-06-2005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27/2011/TT-BGTVT</w:t>
            </w:r>
          </w:p>
        </w:tc>
        <w:tc>
          <w:p/>
          <w:p>
            <w:pPr>
              <w:spacing w:after="0" w:before="0" w:lineRule="auto" w:line="276"/>
              <w:jc w:val="left"/>
            </w:pPr>
            <w:r>
              <w:rPr>
                <w:rFonts w:ascii="Times New Roman" w:hAnsi="Times New Roman" w:cs="Times New Roman" w:eastAsia="Times New Roman"/>
                <w:b w:val="false"/>
                <w:sz w:val="26"/>
              </w:rPr>
              <w:t>Áp dụng sửa đổi, bổ sung năm 2002 của Công ước quốc tế về an toàn sinh mạng con người trên biển năm 1974 ban hành kèm theo Bộ luật Quốc tế về an ninh tàu biển và cảng biển</w:t>
            </w:r>
          </w:p>
        </w:tc>
        <w:tc>
          <w:p/>
          <w:p>
            <w:pPr>
              <w:spacing w:after="0" w:before="0" w:lineRule="auto" w:line="276"/>
              <w:jc w:val="left"/>
            </w:pPr>
            <w:r>
              <w:rPr>
                <w:rFonts w:ascii="Times New Roman" w:hAnsi="Times New Roman" w:cs="Times New Roman" w:eastAsia="Times New Roman"/>
                <w:b w:val="false"/>
                <w:sz w:val="26"/>
              </w:rPr>
              <w:t>14-04-2011</w:t>
            </w:r>
          </w:p>
        </w:tc>
        <w:tc>
          <w:p/>
          <w:p>
            <w:pPr>
              <w:spacing w:after="0" w:before="0" w:lineRule="auto" w:line="276"/>
              <w:jc w:val="left"/>
            </w:pPr>
            <w:r>
              <w:rPr>
                <w:rFonts w:ascii="Times New Roman" w:hAnsi="Times New Roman" w:cs="Times New Roman" w:eastAsia="Times New Roman"/>
                <w:b w:val="false"/>
                <w:sz w:val="26"/>
              </w:rPr>
              <w:t>Bộ Giao thông vận tải</w:t>
            </w:r>
          </w:p>
        </w:tc>
      </w:tr>
      <w:tr>
        <w:tc>
          <w:p/>
          <w:p>
            <w:pPr>
              <w:spacing w:after="0" w:before="0" w:lineRule="auto" w:line="276"/>
              <w:jc w:val="left"/>
            </w:pPr>
            <w:r>
              <w:rPr>
                <w:rFonts w:ascii="Times New Roman" w:hAnsi="Times New Roman" w:cs="Times New Roman" w:eastAsia="Times New Roman"/>
                <w:b w:val="false"/>
                <w:sz w:val="26"/>
              </w:rPr>
              <w:t>132/2013/TT-BTC</w:t>
            </w:r>
          </w:p>
        </w:tc>
        <w:tc>
          <w:p/>
          <w:p>
            <w:pPr>
              <w:spacing w:after="0" w:before="0" w:lineRule="auto" w:line="276"/>
              <w:jc w:val="left"/>
            </w:pPr>
            <w:r>
              <w:rPr>
                <w:rFonts w:ascii="Times New Roman" w:hAnsi="Times New Roman" w:cs="Times New Roman" w:eastAsia="Times New Roman"/>
                <w:b w:val="false"/>
                <w:sz w:val="26"/>
              </w:rPr>
              <w:t>Quy định chế độ thu, nộp và quản lý sử dụng phí thẩm định, phê duyệt đánh giá an ninh cảng biển, kế hoạch an ninh cảng biển và cấp lý lịch liên tục của tàu biển</w:t>
            </w:r>
          </w:p>
        </w:tc>
        <w:tc>
          <w:p/>
          <w:p>
            <w:pPr>
              <w:spacing w:after="0" w:before="0" w:lineRule="auto" w:line="276"/>
              <w:jc w:val="left"/>
            </w:pPr>
            <w:r>
              <w:rPr>
                <w:rFonts w:ascii="Times New Roman" w:hAnsi="Times New Roman" w:cs="Times New Roman" w:eastAsia="Times New Roman"/>
                <w:b w:val="false"/>
                <w:sz w:val="26"/>
              </w:rPr>
              <w:t>19-09-2013</w:t>
            </w:r>
          </w:p>
        </w:tc>
        <w:tc>
          <w:p/>
          <w:p>
            <w:pPr>
              <w:spacing w:after="0" w:before="0" w:lineRule="auto" w:line="276"/>
              <w:jc w:val="left"/>
            </w:pPr>
            <w:r>
              <w:rPr>
                <w:rFonts w:ascii="Times New Roman" w:hAnsi="Times New Roman" w:cs="Times New Roman" w:eastAsia="Times New Roman"/>
                <w:b w:val="false"/>
                <w:sz w:val="26"/>
              </w:rPr>
              <w:t>Bộ Tài chính</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Doanh nghiệp cảng biển và cảng biển đáp ứng quy định của Bộ luật ISPS</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https://thutuc.dichvucong.gov.vn/p/home/dvc-tthc-thu-tuc-hanh-chinh-chi-tiet.html?ma_thu_tuc=1588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2025-11-27T16:31:35Z</dcterms:created>
  <dc:creator>Apache POI</dc:creator>
</cp:coreProperties>
</file>