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thuộc danh mục cấm của Việt Nam nhưng không thuộc danh mục cấm của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cho phép quá cảnh hàng hóa đến Cục Xuất nhập khẩu - Bộ Công Thương
Thời hạn giải quyết hồ sơ là 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theo mẫu quy định.</w:t>
            </w:r>
          </w:p>
        </w:tc>
        <w:tc>
          <w:p/>
          <w:p>
            <w:pPr>
              <w:spacing w:after="0" w:before="0" w:lineRule="auto" w:line="276"/>
              <w:jc w:val="left"/>
            </w:pPr>
            <w:r>
              <w:rPr>
                <w:rFonts w:ascii="Times New Roman" w:hAnsi="Times New Roman" w:cs="Times New Roman" w:eastAsia="Times New Roman"/>
                <w:b w:val="false"/>
                <w:sz w:val="26"/>
              </w:rPr>
              <w:t>PHLCIII.docx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hóa quá  cảnh (trong trường hợp chủ hàng ký hợp đồng vận chuyển với doanh nghiệp Việt Nam hoặc doanh nghiệp nước thứ 3)</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thuộc danh mục cấm của Việt Nam nhưng không thuộc danh mục cấm của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2025-11-27T16:31:36Z</dcterms:created>
  <dc:creator>Apache POI</dc:creator>
</cp:coreProperties>
</file>