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1466/QĐ-NHNN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hạn mức tự doanh tạm thời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gian Thủ tướng Chính phủ chưa phê duyệt tổng hạn mức đầu tư gián tiếp ra nước ngoài trong năm, khi có nhu cầu tiếp tục thực hiện hoạt động đầu tư gián tiếp ra nước ngoài, trước ngày 31 tháng 3 hàng năm, tổ chức tự doanh gửi đơn đăng ký hạn mức tự doanh tạm thời qua đường bưu điện hoặc nộp trực tiếp tại Ngân hàng Nhà nước để đăng ký hạn mức tự doanh tạm thời;</w:t>
      </w:r>
    </w:p>
    <w:p>
      <w:pPr>
        <w:spacing w:after="0" w:before="0" w:lineRule="auto" w:line="276"/>
        <w:jc w:val="both"/>
      </w:pPr>
      <w:r>
        <w:rPr>
          <w:rFonts w:ascii="Times New Roman" w:hAnsi="Times New Roman" w:cs="Times New Roman" w:eastAsia="Times New Roman"/>
          <w:b w:val="false"/>
          <w:sz w:val="26"/>
        </w:rPr>
        <w:t>Bước 2: Trong thời hạn 05 (năm) ngày làm việc kể từ ngày nhận được đơn đăng ký hạn mức tự doanh tạm thời, căn cứ tình hình thực hiện đầu tư gián tiếp ra nước ngoài năm trước liền kề, tỷ lệ đầu tư an toàn của tổ chức tự doanh, Ngân hàng Nhà nước có văn bản xác nhận hoặc từ chối xác nhận đăng ký hạn mức tự doanh tạm thời cho tổ chức tự doanh. Trường hợp từ chối,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hạn mức tự doanh tạm thời theo mẫu tại Phụ lục số 08 ban hành kèm theo Thông tư 10</w:t>
            </w:r>
          </w:p>
        </w:tc>
        <w:tc>
          <w:p/>
          <w:p>
            <w:pPr>
              <w:spacing w:after="0" w:before="0" w:lineRule="auto" w:line="276"/>
              <w:jc w:val="left"/>
            </w:pPr>
            <w:r>
              <w:rPr>
                <w:rFonts w:ascii="Times New Roman" w:hAnsi="Times New Roman" w:cs="Times New Roman" w:eastAsia="Times New Roman"/>
                <w:b w:val="false"/>
                <w:sz w:val="26"/>
              </w:rPr>
              <w:t>Phụ lục 08.doc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đăng ký hạn mức tự doanh tạm thời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2025-11-27T16:31:36Z</dcterms:created>
  <dc:creator>Apache POI</dc:creator>
</cp:coreProperties>
</file>