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trả trước hạn tiền gửi có kỳ hạn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Khách hàng lập Giấy đề nghị rút trước hạn tiền gửi có kỳ hạn;
- Khách hàng xuất trình hồ sơ theo quy định;
- NHCSXH kiểm tra, đối chiếu hồ sơ khách hàng;
- NHCSXH thực hiện chi trả tiền gửi có kỳ hạn vào tài khoản thanh toán của khách hàng.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nơi nhận tiền gửi có kỳ hạn.
Ngay sau khi NHCSXH nơi thực hiện thủ tục nhận được hồ sơ của khách hàng.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Hợp đồng tiền gửi có kỳ hạn (01 bản chính do khách hàng xuất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rút trước hạn tiền gửi có kỳ hạn (mẫu số 03/NHCS-TGCKH)</w:t>
            </w:r>
          </w:p>
        </w:tc>
        <w:tc>
          <w:p/>
          <w:p>
            <w:pPr>
              <w:spacing w:after="0" w:before="0" w:lineRule="auto" w:line="276"/>
              <w:jc w:val="left"/>
            </w:pPr>
            <w:r>
              <w:rPr>
                <w:rFonts w:ascii="Times New Roman" w:hAnsi="Times New Roman" w:cs="Times New Roman" w:eastAsia="Times New Roman"/>
                <w:b w:val="false"/>
                <w:sz w:val="26"/>
              </w:rPr>
              <w:t>03NHCS-TGCKH-Giấy đề nghị rút trước hạn (3589).doc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xác minh thông tin cá nhân của khách hàng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gửi tiền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Thị thực hoặc các giấy tờ khác xác định thời hạn được phép cư trú của cá nhân tại Việt Nam do cơ quan có thẩm quyền của Việt Nam cấp còn thời hạn hiệu lực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khách hàng phải thực hiện thông qua người đại diện theo pháp luật thì người đại diện xuất trình Giấy tờ xác minh thông tin cá nhân, Giấy chứng minh tư cách đại diện của người đại diện theo pháp luật, Giấy khai sinh của cá nhân chưa đủ 14 tuổi thực hiện gửi tiền thông qua người đại diện theo pháp luật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Khoản tiền gửi có kỳ hạn được NHCSXH chi trả vào tài khoản thanh toán của khách hàng mở tại NHCSXH.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18-03-2013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49/2018/TT-NHNN</w:t>
            </w:r>
          </w:p>
        </w:tc>
        <w:tc>
          <w:p/>
          <w:p>
            <w:pPr>
              <w:spacing w:after="0" w:before="0" w:lineRule="auto" w:line="276"/>
              <w:jc w:val="left"/>
            </w:pPr>
            <w:r>
              <w:rPr>
                <w:rFonts w:ascii="Times New Roman" w:hAnsi="Times New Roman" w:cs="Times New Roman" w:eastAsia="Times New Roman"/>
                <w:b w:val="false"/>
                <w:sz w:val="26"/>
              </w:rPr>
              <w:t>Thông tư 49/2018/TT-NHNN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3589/NHCS-KHNV</w:t>
            </w:r>
          </w:p>
        </w:tc>
        <w:tc>
          <w:p/>
          <w:p>
            <w:pPr>
              <w:spacing w:after="0" w:before="0" w:lineRule="auto" w:line="276"/>
              <w:jc w:val="left"/>
            </w:pPr>
            <w:r>
              <w:rPr>
                <w:rFonts w:ascii="Times New Roman" w:hAnsi="Times New Roman" w:cs="Times New Roman" w:eastAsia="Times New Roman"/>
                <w:b w:val="false"/>
                <w:sz w:val="26"/>
              </w:rPr>
              <w:t>Công văn số 3589/NHCS-KHNV V/v hướng dẫn tiền gửi có kỳ hạn tại Ngân hàng Chính sách xã hội</w:t>
            </w:r>
          </w:p>
        </w:tc>
        <w:tc>
          <w:p/>
          <w:p>
            <w:pPr>
              <w:spacing w:after="0" w:before="0" w:lineRule="auto" w:line="276"/>
              <w:jc w:val="left"/>
            </w:pPr>
            <w:r>
              <w:rPr>
                <w:rFonts w:ascii="Times New Roman" w:hAnsi="Times New Roman" w:cs="Times New Roman" w:eastAsia="Times New Roman"/>
                <w:b w:val="false"/>
                <w:sz w:val="26"/>
              </w:rPr>
              <w:t>11-06-2019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Khách hàng phải xuất trình được đầy đủ hồ sơ, thủ tục theo quy định của ngân hàng.
- Khách hàng phải có tài khoản thanh toán tại NHCSXH nơi nhận tiền gửi có kỳ hạn.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tiền gửi có kỳ hạn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2025-11-27T16:32:00Z</dcterms:created>
  <dc:creator>Apache POI</dc:creator>
</cp:coreProperties>
</file>