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4784/QĐ-NHCS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bàn giao dư nợ hộ bỏ đi khỏi địa phương nơi vay vốn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Khách hàng
Khi có nhu cầu, viết Giấy đề nghị bàn giao dư nợ (mẫu số 01/BGDN), lấy xác nhận của Ủy ban nhân dân cấp xã nơi hộ vay đang sinh sống, cư trú hợp pháp gửi NHCSXH có trụ sở tại địa phương nơi hộ vay đang sinh sống.</w:t>
      </w:r>
    </w:p>
    <w:p>
      <w:pPr>
        <w:spacing w:after="0" w:before="0" w:lineRule="auto" w:line="276"/>
        <w:jc w:val="both"/>
      </w:pPr>
      <w:r>
        <w:rPr>
          <w:rFonts w:ascii="Times New Roman" w:hAnsi="Times New Roman" w:cs="Times New Roman" w:eastAsia="Times New Roman"/>
          <w:b w:val="false"/>
          <w:sz w:val="26"/>
        </w:rPr>
        <w:t xml:space="preserve"> Bước 2. NHCSXH có trụ sở tại địa phương nơi hộ vay đang sinh sống (NHCSXH nhận bàn giao)
Xác nhận vào Giấy đề nghị bàn giao dư nợ (mẫu số 01/BGDN) và gửi NHCSXH đang quản lý dư nợ của hộ vay.</w:t>
      </w:r>
    </w:p>
    <w:p>
      <w:pPr>
        <w:spacing w:after="0" w:before="0" w:lineRule="auto" w:line="276"/>
        <w:jc w:val="both"/>
      </w:pPr>
      <w:r>
        <w:rPr>
          <w:rFonts w:ascii="Times New Roman" w:hAnsi="Times New Roman" w:cs="Times New Roman" w:eastAsia="Times New Roman"/>
          <w:b w:val="false"/>
          <w:sz w:val="26"/>
        </w:rPr>
        <w:t xml:space="preserve"> Bước 3. NHCSXH đang quản lý dư nợ của hộ vay (NHCSXH bàn giao)
- Rà soát Giấy đề nghị bàn giao dư nợ (mẫu số 01/BGDN); thực hiện đóng tài khoản Tiền gửi không kỳ hạn của khách hàng (nếu có), đồng thời trích tài khoản của khách hàng để thu lãi, thu nợ món vay.
- Thực hiện thủ tục đưa thành viên ra khỏi Tổ TK&amp;VV và các quy trình thủ tục khác theo quy định gửi NHCSXH nhận bàn giao.</w:t>
      </w:r>
    </w:p>
    <w:p>
      <w:pPr>
        <w:spacing w:after="0" w:before="0" w:lineRule="auto" w:line="276"/>
        <w:jc w:val="both"/>
      </w:pPr>
      <w:r>
        <w:rPr>
          <w:rFonts w:ascii="Times New Roman" w:hAnsi="Times New Roman" w:cs="Times New Roman" w:eastAsia="Times New Roman"/>
          <w:b w:val="false"/>
          <w:sz w:val="26"/>
        </w:rPr>
        <w:t xml:space="preserve"> Bước 4. NHCSXH nhận bàn giao
- Tiếp nhận, kiểm tra các tài liệu trong hồ sơ bàn giao dư nợ đúng, đủ theo Sao kê dư nợ bàn giao, Danh mục hồ sơ bàn giao.
- Thực hiện các thủ tục kết nạp thành viên vào Tổ TK&amp;VV và các quy trình thủ tục khác theo quy định. Xác nhận trên các mẫu 02/BGDN, 03/BGDN, 04/BGDN; gửi lại 01 liên các mẫu này cho NHCSXH bàn giao và thông báo đến khách hàng.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Khách hàng gửi Giấy đề nghị bàn giao dư nợ (mẫu số 01/BGDN) trực tiếp tại NHCSXH nhận bàn giao.
03 ngày làm việc kể từ ngày NHCSXH nhận bàn giao nhận được đầy đủ Hồ sơ bàn giao dư nợ do NHCSXH bàn giao gửi.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Thành phần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bàn giao dư nợ (mẫu 01/BGDN).</w:t>
            </w:r>
          </w:p>
        </w:tc>
        <w:tc>
          <w:p/>
          <w:p>
            <w:pPr>
              <w:spacing w:after="0" w:before="0" w:lineRule="auto" w:line="276"/>
              <w:jc w:val="left"/>
            </w:pPr>
            <w:r>
              <w:rPr>
                <w:rFonts w:ascii="Times New Roman" w:hAnsi="Times New Roman" w:cs="Times New Roman" w:eastAsia="Times New Roman"/>
                <w:b w:val="false"/>
                <w:sz w:val="26"/>
              </w:rPr>
              <w:t>01-BGDN  (4732-NHCS-QLN ngày 28.11.2016).doc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bàn giao dư nợ (mẫu 04/BGDN).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bàn giao (mẫu 04/BGDN)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4421/NHCS-QLN</w:t>
            </w:r>
          </w:p>
        </w:tc>
        <w:tc>
          <w:p/>
          <w:p>
            <w:pPr>
              <w:spacing w:after="0" w:before="0" w:lineRule="auto" w:line="276"/>
              <w:jc w:val="left"/>
            </w:pPr>
            <w:r>
              <w:rPr>
                <w:rFonts w:ascii="Times New Roman" w:hAnsi="Times New Roman" w:cs="Times New Roman" w:eastAsia="Times New Roman"/>
                <w:b w:val="false"/>
                <w:sz w:val="26"/>
              </w:rPr>
              <w:t>về việc rà soát, xử lý nợ của hộ vay vốn bỏ đi khỏi nơi cư trú;</w:t>
            </w:r>
          </w:p>
        </w:tc>
        <w:tc>
          <w:p/>
          <w:p>
            <w:pPr>
              <w:spacing w:after="0" w:before="0" w:lineRule="auto" w:line="276"/>
              <w:jc w:val="left"/>
            </w:pPr>
            <w:r>
              <w:rPr>
                <w:rFonts w:ascii="Times New Roman" w:hAnsi="Times New Roman" w:cs="Times New Roman" w:eastAsia="Times New Roman"/>
                <w:b w:val="false"/>
                <w:sz w:val="26"/>
              </w:rPr>
              <w:t>31-12-2014</w:t>
            </w:r>
          </w:p>
        </w:tc>
        <w:tc>
          <w:p/>
        </w:tc>
      </w:tr>
      <w:tr>
        <w:tc>
          <w:p/>
          <w:p>
            <w:pPr>
              <w:spacing w:after="0" w:before="0" w:lineRule="auto" w:line="276"/>
              <w:jc w:val="left"/>
            </w:pPr>
            <w:r>
              <w:rPr>
                <w:rFonts w:ascii="Times New Roman" w:hAnsi="Times New Roman" w:cs="Times New Roman" w:eastAsia="Times New Roman"/>
                <w:b w:val="false"/>
                <w:sz w:val="26"/>
              </w:rPr>
              <w:t>4732/NHCS-QLN</w:t>
            </w:r>
          </w:p>
        </w:tc>
        <w:tc>
          <w:p/>
          <w:p>
            <w:pPr>
              <w:spacing w:after="0" w:before="0" w:lineRule="auto" w:line="276"/>
              <w:jc w:val="left"/>
            </w:pPr>
            <w:r>
              <w:rPr>
                <w:rFonts w:ascii="Times New Roman" w:hAnsi="Times New Roman" w:cs="Times New Roman" w:eastAsia="Times New Roman"/>
                <w:b w:val="false"/>
                <w:sz w:val="26"/>
              </w:rPr>
              <w:t>về việc hướng dẫn bàn giao dư nợ hộ bỏ đi khỏi địa phương nơi vay vốn.</w:t>
            </w:r>
          </w:p>
        </w:tc>
        <w:tc>
          <w:p/>
          <w:p>
            <w:pPr>
              <w:spacing w:after="0" w:before="0" w:lineRule="auto" w:line="276"/>
              <w:jc w:val="left"/>
            </w:pPr>
            <w:r>
              <w:rPr>
                <w:rFonts w:ascii="Times New Roman" w:hAnsi="Times New Roman" w:cs="Times New Roman" w:eastAsia="Times New Roman"/>
                <w:b w:val="false"/>
                <w:sz w:val="26"/>
              </w:rPr>
              <w:t>28-11-2016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Hộ vay vốn bỏ đi khỏi địa phương nơi vay vốn, hiện đang sinh sống ổn định và cư trú hợp pháp tại một địa phương khác (trong nước) do NHCSXH nơi cho vay khác phục vụ;
- Hộ vay nhận nợ nhưng vì khó khăn chưa trả nợ hoặc mới trả một phần nợ; 
- Có nhu cầu chuyển nợ về NHCSXH nơi đang sinh sống và cư trú hợp pháp.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2025-11-27T16:32:10Z</dcterms:created>
  <dc:creator>Apache POI</dc:creator>
</cp:coreProperties>
</file>