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2.000552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3106/QĐ-BYT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hoạt động đối với trạm, điểm sơ cấp cứu chữ thập đỏ khi thay đổi địa điểm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Khám bệnh, chữa bệnh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Trạm, điểm sơ cấp cứu chữ thập đỏ gửi hồ sơ đề nghị cấp lại Giấy phép hoạt động đến phòng y tế;</w:t>
      </w:r>
    </w:p>
    <w:p>
      <w:pPr>
        <w:spacing w:after="0" w:before="0" w:lineRule="auto" w:line="276"/>
        <w:jc w:val="both"/>
      </w:pPr>
      <w:r>
        <w:rPr>
          <w:rFonts w:ascii="Times New Roman" w:hAnsi="Times New Roman" w:cs="Times New Roman" w:eastAsia="Times New Roman"/>
          <w:b w:val="false"/>
          <w:sz w:val="26"/>
        </w:rPr>
        <w:t>Bước 2: Trong thời hạn 20 ngày làm việc, kể từ ngày nhận được hồ sơ hợp lệ, phòng y tế phải thành lập tổ thẩm định để tổ chức thẩm định và có biên bản thẩm định theo mẫu quy định tại Phụ lục số 3 ban hành kèm theo Thông tư số 17/2014/TT-BYT ngày 02/6/2014;</w:t>
      </w:r>
    </w:p>
    <w:p>
      <w:pPr>
        <w:spacing w:after="0" w:before="0" w:lineRule="auto" w:line="276"/>
        <w:jc w:val="both"/>
      </w:pPr>
      <w:r>
        <w:rPr>
          <w:rFonts w:ascii="Times New Roman" w:hAnsi="Times New Roman" w:cs="Times New Roman" w:eastAsia="Times New Roman"/>
          <w:b w:val="false"/>
          <w:sz w:val="26"/>
        </w:rPr>
        <w:t>Bước 3: Trong thời hạn 10 ngày làm việc, kể từ ngày nhận được hồ sơ của phòng y tế, Giám đốc Sở Y tế phải cấp lại giấy phép hoạt động cho trạm, điểm sơ cấp cứu chữ thập đỏ theo mẫu quy định tại Phụ lục số 4 ban hành kèm theo Thông tư này, trường hợp không đủ điều kiện cấp giấy phép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đề nghị cấp lại Giấy phép hoạt động đối với trạm, điểm sơ cấp cứu chữ thập đỏ theo Phụ lục số 2b ban hành kèm theo Thông tư số 17/2014/TT-BYT; b. Báo cáo bằng văn bản của trạm, điểm sơ cấp cứu về việc thay đổi địa điểm (Kèm theo Hợp đồng thuê địa điểm hoặc cam kết đồng ý cho mượn của chủ địa điểm hoặc người quản lý nơi đặt trạm, điểm sơ cấp cứu chữ thập đỏ);</w:t>
            </w:r>
          </w:p>
        </w:tc>
        <w:tc>
          <w:p/>
          <w:p>
            <w:pPr>
              <w:spacing w:after="0" w:before="0" w:lineRule="auto" w:line="276"/>
              <w:jc w:val="left"/>
            </w:pPr>
            <w:r>
              <w:rPr>
                <w:rFonts w:ascii="Times New Roman" w:hAnsi="Times New Roman" w:cs="Times New Roman" w:eastAsia="Times New Roman"/>
                <w:b w:val="false"/>
                <w:sz w:val="26"/>
              </w:rPr>
              <w:t>pl 2b.docx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Y tế các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hoạt động đối với cơ sở khám bệnh, chữa bệnh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11/2008/QH12</w:t>
            </w:r>
          </w:p>
        </w:tc>
        <w:tc>
          <w:p/>
          <w:p>
            <w:pPr>
              <w:spacing w:after="0" w:before="0" w:lineRule="auto" w:line="276"/>
              <w:jc w:val="left"/>
            </w:pPr>
            <w:r>
              <w:rPr>
                <w:rFonts w:ascii="Times New Roman" w:hAnsi="Times New Roman" w:cs="Times New Roman" w:eastAsia="Times New Roman"/>
                <w:b w:val="false"/>
                <w:sz w:val="26"/>
              </w:rPr>
              <w:t>Luật 11/2008/QH12-Hoạt động chữ thập đỏ</w:t>
            </w:r>
          </w:p>
        </w:tc>
        <w:tc>
          <w:p/>
          <w:p>
            <w:pPr>
              <w:spacing w:after="0" w:before="0" w:lineRule="auto" w:line="276"/>
              <w:jc w:val="left"/>
            </w:pPr>
            <w:r>
              <w:rPr>
                <w:rFonts w:ascii="Times New Roman" w:hAnsi="Times New Roman" w:cs="Times New Roman" w:eastAsia="Times New Roman"/>
                <w:b w:val="false"/>
                <w:sz w:val="26"/>
              </w:rPr>
              <w:t>03-06-2008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03/2011/NĐ-CP</w:t>
            </w:r>
          </w:p>
        </w:tc>
        <w:tc>
          <w:p/>
          <w:p>
            <w:pPr>
              <w:spacing w:after="0" w:before="0" w:lineRule="auto" w:line="276"/>
              <w:jc w:val="left"/>
            </w:pPr>
            <w:r>
              <w:rPr>
                <w:rFonts w:ascii="Times New Roman" w:hAnsi="Times New Roman" w:cs="Times New Roman" w:eastAsia="Times New Roman"/>
                <w:b w:val="false"/>
                <w:sz w:val="26"/>
              </w:rPr>
              <w:t>Nghị định 03/2011/NĐ-CP-Quy định chi tiết và biện pháp thi hành Luật Hoạt động chữ thập đỏ</w:t>
            </w:r>
          </w:p>
        </w:tc>
        <w:tc>
          <w:p/>
          <w:p>
            <w:pPr>
              <w:spacing w:after="0" w:before="0" w:lineRule="auto" w:line="276"/>
              <w:jc w:val="left"/>
            </w:pPr>
            <w:r>
              <w:rPr>
                <w:rFonts w:ascii="Times New Roman" w:hAnsi="Times New Roman" w:cs="Times New Roman" w:eastAsia="Times New Roman"/>
                <w:b w:val="false"/>
                <w:sz w:val="26"/>
              </w:rPr>
              <w:t>07-01-2011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17/2014/TT-BYT</w:t>
            </w:r>
          </w:p>
        </w:tc>
        <w:tc>
          <w:p/>
          <w:p>
            <w:pPr>
              <w:spacing w:after="0" w:before="0" w:lineRule="auto" w:line="276"/>
              <w:jc w:val="left"/>
            </w:pPr>
            <w:r>
              <w:rPr>
                <w:rFonts w:ascii="Times New Roman" w:hAnsi="Times New Roman" w:cs="Times New Roman" w:eastAsia="Times New Roman"/>
                <w:b w:val="false"/>
                <w:sz w:val="26"/>
              </w:rPr>
              <w:t>Thông tư 17/2014/TT-BYT-Quy định việc cấp giấy phép hoạt động đối với trạm, điểm sơ cấp cứu chữ thập đỏ và việc huấn luyện sơ cấp cứu chữ thập đỏ</w:t>
            </w:r>
          </w:p>
        </w:tc>
        <w:tc>
          <w:p/>
          <w:p>
            <w:pPr>
              <w:spacing w:after="0" w:before="0" w:lineRule="auto" w:line="276"/>
              <w:jc w:val="left"/>
            </w:pPr>
            <w:r>
              <w:rPr>
                <w:rFonts w:ascii="Times New Roman" w:hAnsi="Times New Roman" w:cs="Times New Roman" w:eastAsia="Times New Roman"/>
                <w:b w:val="false"/>
                <w:sz w:val="26"/>
              </w:rPr>
              <w:t>02-06-2014</w:t>
            </w:r>
          </w:p>
        </w:tc>
        <w:tc>
          <w:p/>
          <w:p>
            <w:pPr>
              <w:spacing w:after="0" w:before="0" w:lineRule="auto" w:line="276"/>
              <w:jc w:val="left"/>
            </w:pPr>
            <w:r>
              <w:rPr>
                <w:rFonts w:ascii="Times New Roman" w:hAnsi="Times New Roman" w:cs="Times New Roman" w:eastAsia="Times New Roman"/>
                <w:b w:val="false"/>
                <w:sz w:val="26"/>
              </w:rPr>
              <w:t>Bộ Y tế</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https://thutuc.dichvucong.gov.vn/p/home/dvc-tthc-thu-tuc-hanh-chinh-chi-tiet.html?ma_thu_tuc=1677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2025-11-27T16:32:45Z</dcterms:created>
  <dc:creator>Apache POI</dc:creator>
</cp:coreProperties>
</file>