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0B23" w:rsidRDefault="00B41F96">
      <w:pPr>
        <w:spacing w:after="300" w:line="276" w:lineRule="auto"/>
        <w:jc w:val="center"/>
      </w:pPr>
      <w:r>
        <w:rPr>
          <w:rFonts w:ascii="Times New Roman" w:eastAsia="Times New Roman" w:hAnsi="Times New Roman" w:cs="Times New Roman"/>
          <w:b/>
          <w:sz w:val="26"/>
        </w:rPr>
        <w:t>Chi tiết thủ tục hành chính</w:t>
      </w:r>
    </w:p>
    <w:p w:rsidR="00860B23" w:rsidRDefault="00B41F9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2.000564</w:t>
      </w:r>
    </w:p>
    <w:p w:rsidR="00860B23" w:rsidRDefault="00B41F9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3225/QĐ-BCT</w:t>
      </w:r>
    </w:p>
    <w:p w:rsidR="00860B23" w:rsidRDefault="00B41F9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sử dụng vật liệu nổ công nghiệp thuộc thẩm quyền giải quyết của Bộ Công Thương</w:t>
      </w:r>
    </w:p>
    <w:p w:rsidR="00860B23" w:rsidRDefault="00B41F9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860B23" w:rsidRDefault="00B41F9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60B23" w:rsidRDefault="00B41F9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Vật liệu nổ công nghiệp, tiền chất thuốc nổ</w:t>
      </w:r>
    </w:p>
    <w:p w:rsidR="00860B23" w:rsidRDefault="00B41F96">
      <w:pPr>
        <w:spacing w:after="0" w:line="276" w:lineRule="auto"/>
        <w:jc w:val="both"/>
      </w:pPr>
      <w:r>
        <w:rPr>
          <w:rFonts w:ascii="Times New Roman" w:eastAsia="Times New Roman" w:hAnsi="Times New Roman" w:cs="Times New Roman"/>
          <w:b/>
          <w:sz w:val="26"/>
        </w:rPr>
        <w:t xml:space="preserve">Trình tự thực hiện: </w:t>
      </w:r>
    </w:p>
    <w:p w:rsidR="00860B23" w:rsidRDefault="00860B23">
      <w:pPr>
        <w:shd w:val="clear" w:color="auto" w:fill="F2F6F9"/>
        <w:spacing w:before="120" w:after="0" w:line="276" w:lineRule="auto"/>
        <w:jc w:val="both"/>
      </w:pPr>
    </w:p>
    <w:p w:rsidR="00860B23" w:rsidRDefault="00B41F96">
      <w:pPr>
        <w:spacing w:after="0" w:line="276" w:lineRule="auto"/>
        <w:jc w:val="both"/>
      </w:pPr>
      <w:r>
        <w:rPr>
          <w:rFonts w:ascii="Times New Roman" w:eastAsia="Times New Roman" w:hAnsi="Times New Roman" w:cs="Times New Roman"/>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rsidR="00860B23" w:rsidRDefault="00B41F96">
      <w:pPr>
        <w:spacing w:after="0" w:line="276" w:lineRule="auto"/>
        <w:jc w:val="both"/>
      </w:pPr>
      <w:r>
        <w:rPr>
          <w:rFonts w:ascii="Times New Roman" w:eastAsia="Times New Roman" w:hAnsi="Times New Roman" w:cs="Times New Roman"/>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p w:rsidR="00860B23" w:rsidRDefault="00B41F96">
      <w:pPr>
        <w:spacing w:after="0" w:line="276" w:lineRule="auto"/>
        <w:jc w:val="both"/>
      </w:pPr>
      <w:r>
        <w:rPr>
          <w:rFonts w:ascii="Times New Roman" w:eastAsia="Times New Roman" w:hAnsi="Times New Roman" w:cs="Times New Roman"/>
          <w:sz w:val="26"/>
        </w:rPr>
        <w:t>Cục Kỹ thuật an toàn và Môi trường công nghiệp cấp giấy phép sử dụng vật liệu nổ công nghiệp cho tổ chức, doanh nghiệp nghiên cứu, thử nghiệm vật liệu nổ công nghiệp hoặc có giấy phép hoạt động khoáng sản do Bộ Tài nguyên và Môi trường cấp, trừ tổ chức, doanh nghiệp thuộc phạm vi quản lý của Bộ Quốc phòng và tổ chức, doanh nghiệp có giấy phép hoạt động khoáng sản do Bộ Tài nguyên và Môi trường cấp để khai thác đá ốp lát, bột đá carbonat canxi.</w:t>
      </w:r>
    </w:p>
    <w:p w:rsidR="00860B23" w:rsidRDefault="00B41F9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045"/>
        <w:gridCol w:w="1088"/>
        <w:gridCol w:w="5122"/>
        <w:gridCol w:w="2156"/>
      </w:tblGrid>
      <w:tr w:rsidR="00860B23">
        <w:tblPrEx>
          <w:tblCellMar>
            <w:top w:w="0" w:type="dxa"/>
            <w:bottom w:w="0" w:type="dxa"/>
          </w:tblCellMar>
        </w:tblPrEx>
        <w:tc>
          <w:tcPr>
            <w:tcW w:w="15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Hình thức nộp</w:t>
            </w:r>
          </w:p>
        </w:tc>
        <w:tc>
          <w:tcPr>
            <w:tcW w:w="20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Phí, lệ phí</w:t>
            </w:r>
          </w:p>
        </w:tc>
        <w:tc>
          <w:tcPr>
            <w:tcW w:w="30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Mô tả</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Trực tiếp</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5 Ngày làm việc</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(Theo quy định tại Thông tư số 148/2016/TT-BTC được sửa đổi, bổ sung bởi Thông tư số 53/2019/TT-BTC.)</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- 05 ngày làm việc, kể từ ngày nhận đủ hồ sơ hợp lệ;</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Trực tuyến</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5 Ngày làm việc</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(Theo quy định tại Thông tư số 148/2016/TT-BTC được sửa đổi, bổ sung bởi Thông tư số 53/2019/TT-BTC.)</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- 05 ngày làm việc, kể từ ngày nhận đủ hồ sơ hợp lệ;</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Dịch vụ bưu chính</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5 Ngày làm việc</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Phí :  Đồng (Theo quy định tại Thông tư số 148/2016/TT-BTC được sửa đổi, bổ sung bởi Thông tư số 53/2019/TT-BTC.)</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- 05 ngày làm việc, kể từ ngày nhận đủ hồ sơ hợp lệ;</w:t>
            </w:r>
          </w:p>
        </w:tc>
      </w:tr>
    </w:tbl>
    <w:p w:rsidR="00860B23" w:rsidRDefault="00B41F96">
      <w:pPr>
        <w:spacing w:before="240" w:after="0" w:line="276" w:lineRule="auto"/>
        <w:jc w:val="both"/>
      </w:pPr>
      <w:r>
        <w:rPr>
          <w:rFonts w:ascii="Times New Roman" w:eastAsia="Times New Roman" w:hAnsi="Times New Roman" w:cs="Times New Roman"/>
          <w:b/>
          <w:sz w:val="26"/>
        </w:rPr>
        <w:t xml:space="preserve">Thành phần hồ sơ: </w:t>
      </w:r>
    </w:p>
    <w:p w:rsidR="00860B23" w:rsidRDefault="00B41F9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124"/>
        <w:gridCol w:w="1363"/>
        <w:gridCol w:w="924"/>
      </w:tblGrid>
      <w:tr w:rsidR="00860B23">
        <w:tblPrEx>
          <w:tblCellMar>
            <w:top w:w="0" w:type="dxa"/>
            <w:bottom w:w="0" w:type="dxa"/>
          </w:tblCellMar>
        </w:tblPrEx>
        <w:tc>
          <w:tcPr>
            <w:tcW w:w="60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Tên giấy tờ</w:t>
            </w:r>
          </w:p>
        </w:tc>
        <w:tc>
          <w:tcPr>
            <w:tcW w:w="20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Mẫu đơn, tờ khai</w:t>
            </w:r>
          </w:p>
        </w:tc>
        <w:tc>
          <w:tcPr>
            <w:tcW w:w="20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Số lượng</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 Văn bản đề nghị theo quy định tại Mẫu số 04 Phụ lục III ban hành kèm theo Thông tư số 23/2024/TT-BCT</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Mu04.docx</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 vụ thực hiện hợp đồng thi công công trình của tổ chức quản lý doanh nghiệp, văn bản của cấp có thẩm quyền giao nhiệm vụ cần sử dụng vật liệu nổ công nghiệp theo quy định tại điểm b khoản 1 Điều 38 của Luật Quản lý, sử dụng vũ khí, vật liệu nổ và công cụ hỗ trợ</w:t>
            </w:r>
          </w:p>
        </w:tc>
        <w:tc>
          <w:tcPr>
            <w:tcW w:w="0" w:type="auto"/>
          </w:tcPr>
          <w:p w:rsidR="00860B23" w:rsidRDefault="00860B23"/>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 Thiết kế, bản vẽ thi công các hạng mục công trình xây dựng, thiết kế khai thác mỏ, đề án thăm dò khoáng sản có sử dụng vật liệu nổ công nghiệp đối với công trình quy mô công nghiệp; phương án thi công, khai thác đối với hoạt động xây dựng, khai thác thủ công. Thiết kế hoặc phương án do chủ đầu tư phê duyệt phải bảo đảm điều kiện về an toàn theo tiêu chuẩn, quy chuẩn kỹ thuật</w:t>
            </w:r>
          </w:p>
        </w:tc>
        <w:tc>
          <w:tcPr>
            <w:tcW w:w="0" w:type="auto"/>
          </w:tcPr>
          <w:p w:rsidR="00860B23" w:rsidRDefault="00860B23"/>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 xml:space="preserve">- Phương án nổ mìn được lãnh đạo tổ chức, doanh nghiệp ký duyệt.  Trường hợp nổ mìn trong khu vực dân cư, cơ sở khám bệnh, chữa bệnh, khu vực có di tích lịch sử - văn hóa, bảo tồn thiên nhiên, công trình quốc phòng, an ninh hoặc công trình quan trọng khác của quốc </w:t>
            </w:r>
            <w:r>
              <w:rPr>
                <w:rFonts w:ascii="Times New Roman" w:eastAsia="Times New Roman" w:hAnsi="Times New Roman" w:cs="Times New Roman"/>
                <w:sz w:val="26"/>
              </w:rPr>
              <w:lastRenderedPageBreak/>
              <w:t>gia, khu vực bảo vệ khác theo quy định của pháp luật thì phải có văn bản phê duyệt của cơ quan cấp giấy phép sử dụng vật liệu nổ công nghiệp và văn bản đồng ý của Ủy ban nhân dân cấp tỉnh hoặc cơ quan quản lý về phương án nổ mìn</w:t>
            </w:r>
          </w:p>
        </w:tc>
        <w:tc>
          <w:tcPr>
            <w:tcW w:w="0" w:type="auto"/>
          </w:tcPr>
          <w:p w:rsidR="00860B23" w:rsidRDefault="00860B23"/>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 Bản sao văn bản nghiệm thu về phòng cháy và chữa cháy đối với kho vật liệu nổ công nghiệp và điều kiện bảo đảm an toàn theo tiêu chuẩn, quy chuẩn kỹ thuật</w:t>
            </w:r>
          </w:p>
        </w:tc>
        <w:tc>
          <w:tcPr>
            <w:tcW w:w="0" w:type="auto"/>
          </w:tcPr>
          <w:p w:rsidR="00860B23" w:rsidRDefault="00860B23"/>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 Trường hợp tổ chức, doanh nghiệp đề nghị cấp phép sử dụng vật liệu nổ công nghiệp không có kho hoặc không có phương tiện vận chuyển, hồ sơ đề nghị cấp giấy phép phải có văn bản thể hiện ý định giao kết hợp đồng thuê kho, phương tiện vận chuyển vật liệu nổ công nghiệp với tổ chức, doanh nghiệp có kho, phương tiện vận chuyển vật liệu nổ công nghiệp bảo đảm điều kiện bảo quản, vận chuyển theo quy định của Luật Luật Quản lý, sử dụng vũ khí, vật liệu nổ và công cụ hỗ trợ</w:t>
            </w:r>
          </w:p>
        </w:tc>
        <w:tc>
          <w:tcPr>
            <w:tcW w:w="0" w:type="auto"/>
          </w:tcPr>
          <w:p w:rsidR="00860B23" w:rsidRDefault="00860B23"/>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 Quyết định bổ nhiệm người chỉ huy nổ mìn của lãnh đạo tổ chức, doanh nghiệp và danh sách thợ nổ mìn, người có liên quan trực tiếp đến sử dụng vật liệu nổ công nghiệp; giấy phép lao động của người nước ngoài làm việc có liên quan đến sử dụng vật liệu nổ công nghiệp (nếu có); bản sao chứng chỉ chuyên môn, giấy chứng nhận huấn luyện kỹ thuật an toàn trong hoạt động sử dụng vật liệu nổ công nghiệp của người chỉ huy nổ mìn và đội ngũ thợ nổ mìn</w:t>
            </w:r>
          </w:p>
        </w:tc>
        <w:tc>
          <w:tcPr>
            <w:tcW w:w="0" w:type="auto"/>
          </w:tcPr>
          <w:p w:rsidR="00860B23" w:rsidRDefault="00860B23"/>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860B23" w:rsidRDefault="00B41F9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860B23" w:rsidRDefault="00B41F9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Kỹ thuật an toàn và Môi trường công nghiệp</w:t>
      </w:r>
    </w:p>
    <w:p w:rsidR="00860B23" w:rsidRDefault="00B41F9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860B23" w:rsidRDefault="00B41F9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860B23" w:rsidRDefault="00B41F9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60B23" w:rsidRDefault="00B41F9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60B23" w:rsidRDefault="00B41F9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sử dụng vật liệu nổ công nghiệp</w:t>
      </w:r>
    </w:p>
    <w:p w:rsidR="00860B23" w:rsidRDefault="00B41F9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438"/>
        <w:gridCol w:w="3977"/>
        <w:gridCol w:w="1091"/>
        <w:gridCol w:w="1905"/>
      </w:tblGrid>
      <w:tr w:rsidR="00860B23">
        <w:tblPrEx>
          <w:tblCellMar>
            <w:top w:w="0" w:type="dxa"/>
            <w:bottom w:w="0" w:type="dxa"/>
          </w:tblCellMar>
        </w:tblPrEx>
        <w:tc>
          <w:tcPr>
            <w:tcW w:w="20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Số ký hiệu</w:t>
            </w:r>
          </w:p>
        </w:tc>
        <w:tc>
          <w:tcPr>
            <w:tcW w:w="35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Trích yếu</w:t>
            </w:r>
          </w:p>
        </w:tc>
        <w:tc>
          <w:tcPr>
            <w:tcW w:w="15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rsidR="00860B23" w:rsidRDefault="00860B23"/>
          <w:p w:rsidR="00860B23" w:rsidRDefault="00B41F96">
            <w:pPr>
              <w:spacing w:after="0" w:line="276" w:lineRule="auto"/>
              <w:jc w:val="center"/>
            </w:pPr>
            <w:r>
              <w:rPr>
                <w:rFonts w:ascii="Times New Roman" w:eastAsia="Times New Roman" w:hAnsi="Times New Roman" w:cs="Times New Roman"/>
                <w:b/>
                <w:sz w:val="26"/>
              </w:rPr>
              <w:t xml:space="preserve">Cơ quan ban </w:t>
            </w:r>
            <w:r>
              <w:rPr>
                <w:rFonts w:ascii="Times New Roman" w:eastAsia="Times New Roman" w:hAnsi="Times New Roman" w:cs="Times New Roman"/>
                <w:b/>
                <w:sz w:val="26"/>
              </w:rPr>
              <w:lastRenderedPageBreak/>
              <w:t>hành</w:t>
            </w:r>
          </w:p>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42/2024/QH15</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29-06-2024</w:t>
            </w:r>
          </w:p>
        </w:tc>
        <w:tc>
          <w:tcPr>
            <w:tcW w:w="0" w:type="auto"/>
          </w:tcPr>
          <w:p w:rsidR="00860B23" w:rsidRDefault="00860B23"/>
        </w:tc>
      </w:tr>
      <w:tr w:rsidR="00860B23">
        <w:tblPrEx>
          <w:tblCellMar>
            <w:top w:w="0" w:type="dxa"/>
            <w:bottom w:w="0" w:type="dxa"/>
          </w:tblCellMar>
        </w:tblPrEx>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Thông tư số 23/2024/TT-BCT</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Thông tư số 23/2024/TT-BCT</w:t>
            </w:r>
          </w:p>
        </w:tc>
        <w:tc>
          <w:tcPr>
            <w:tcW w:w="0" w:type="auto"/>
          </w:tcPr>
          <w:p w:rsidR="00860B23" w:rsidRDefault="00860B23"/>
          <w:p w:rsidR="00860B23" w:rsidRDefault="00B41F96">
            <w:pPr>
              <w:spacing w:after="0" w:line="276" w:lineRule="auto"/>
            </w:pPr>
            <w:r>
              <w:rPr>
                <w:rFonts w:ascii="Times New Roman" w:eastAsia="Times New Roman" w:hAnsi="Times New Roman" w:cs="Times New Roman"/>
                <w:sz w:val="26"/>
              </w:rPr>
              <w:t>07-11-2024</w:t>
            </w:r>
          </w:p>
        </w:tc>
        <w:tc>
          <w:tcPr>
            <w:tcW w:w="0" w:type="auto"/>
          </w:tcPr>
          <w:p w:rsidR="00860B23" w:rsidRDefault="00860B23"/>
        </w:tc>
      </w:tr>
    </w:tbl>
    <w:p w:rsidR="00860B23" w:rsidRDefault="00B41F9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Được thành lập theo quy định của pháp luật, có đăng ký doanh nghiệp hoặc đăng ký hoạt động ngành, nghề, lĩnh vực cần sử dụng vật liệu nổ công nghiệp;  - Có hoạt động thăm dò, khai thác khoáng sản, dầu khí; công trình xây dựng, nghiên cứu, thử nghiệm; xử lý các tình huống khẩn cấp, khắc phục sự cố thiên tai hoặc thực hiện nhiệm vụ do cấp có thẩm quyền giao cần sử dụng vật liệu nổ công nghiệp theo quy định của pháp luật;  - Có kho, công nghệ, thiết bị, phương tiện, dụng cụ phục vụ hoạt động sử dụng vật liệu</w:t>
      </w:r>
      <w:r>
        <w:rPr>
          <w:rFonts w:ascii="Times New Roman" w:eastAsia="Times New Roman" w:hAnsi="Times New Roman" w:cs="Times New Roman"/>
          <w:sz w:val="26"/>
        </w:rPr>
        <w:t xml:space="preserve"> nổ công nghiệp bảo đảm tiêu chuẩn, quy chuẩn kỹ thuật; trường hợp không có kho, phương tiện vận chuyển, phải có hợp đồng thuê hoặc văn bản thể hiện ý định giao kết hợp đồng với tổ chức, doanh nghiệp có kho, phương tiện vận chuyển đủ điều kiện bảo quản, vận chuyển theo quy định của Luật này; - Địa điểm sử dụng vật liệu nổ công nghiệp phải bảo đảm điều kiện về an ninh, trật tự, phòng cháy và chữa cháy, vệ sinh môi trường; bảo đảm khoảng cách an toàn đối với công trình, đối tượng cần bảo vệ theo tiêu chuẩn, q</w:t>
      </w:r>
      <w:r>
        <w:rPr>
          <w:rFonts w:ascii="Times New Roman" w:eastAsia="Times New Roman" w:hAnsi="Times New Roman" w:cs="Times New Roman"/>
          <w:sz w:val="26"/>
        </w:rPr>
        <w:t>uy chuẩn kỹ thuật và các quy định có liên quan;  - Tổ chức, doanh nghiệp sử dụng vật liệu nổ công nghiệp phải bảo đảm điều kiện về an ninh, trật tự; người quản lý, chỉ huy nổ mìn, thợ nổ mìn và người có liên quan trực tiếp đến sử dụng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sử dụng vật liệu nổ công nghiệp; - Quy mô sử dụng thuốc nổ t</w:t>
      </w:r>
      <w:r>
        <w:rPr>
          <w:rFonts w:ascii="Times New Roman" w:eastAsia="Times New Roman" w:hAnsi="Times New Roman" w:cs="Times New Roman"/>
          <w:sz w:val="26"/>
        </w:rPr>
        <w:t>rong 01 quý từ 500 kg trở lên, trừ trường hợp sử dụng thuốc nổ để thử nghiệm, thăm dò, đánh giá địa chất và khai thác đá ốp lát.</w:t>
      </w:r>
    </w:p>
    <w:p w:rsidR="00860B23" w:rsidRDefault="00B41F9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860B23" w:rsidRDefault="00B41F9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https://thutuc.dichvucong.gov.vn/p/home/dvc-tthc-thu-tuc-hanh-chinh-chi-tiet.html?ma_thu_tuc=1709</w:t>
      </w:r>
    </w:p>
    <w:sectPr w:rsidR="00860B2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0B23"/>
    <w:rsid w:val="002C65F8"/>
    <w:rsid w:val="00860B23"/>
    <w:rsid w:val="00B41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176099-718C-4CF9-A512-C4FE3829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1071</Words>
  <Characters>6108</Characters>
  <Application>Microsoft Office Word</Application>
  <DocSecurity>0</DocSecurity>
  <Lines>50</Lines>
  <Paragraphs>14</Paragraphs>
  <ScaleCrop>false</ScaleCrop>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2025-11-27T16:33:00Z</dcterms:created>
  <dcterms:modified xsi:type="dcterms:W3CDTF">2025-11-27T16:33:00Z</dcterms:modified>
</cp:coreProperties>
</file>