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2.000568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524/QĐ-BTP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Thay đổi, bổ sung lĩnh vực giám định của Văn phòng giám định tư pháp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Giám định tư pháp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Văn phòng giám định tư pháp thay đổi, bổ sung lĩnh vực giám định phải có đơn gửi đến Sở Tư pháp nơi Văn phòng giám định tư pháp đã đăng ký hoạt động kèm theo đề án về việc thay đổi, bổ sung lĩnh vực giám định quy định tại Điểm b Khoản 3 Điều 17 Nghị định số 85/2013/NĐ-CP  của Chính phủ quy định chi tiết và biện pháp thi hành Luật giám định tư pháp.
Trong thời hạn 30 ngày, kể từ ngày nhận được hồ sơ hợp lệ của Văn phòng giám định tư pháp xin thay đổi, bổ sung lĩnh vực giám định, Giám đốc Sở Tư pháp xem xét, thẩm định, thống nhất ý kiến với người đứng đầu cơ quan chuyên môn của Ủy ban nhân dân cấp tỉnh quản lý lĩnh vực giám định tư pháp, trình Chủ tịch Ủy ban nhân dân cấp tỉnh xem xét, quyết định.
Trong thời hạn 15 ngày, kể từ ngày Sở Tư pháp trình hồ sơ, Chủ tịch Ủy ban nhân dân cấp tỉnh xem xét, quyết định cho phép thay đổi, bổ sung lĩnh vực giám định. Trường hợp không cho phép thay đổi, bổ sung lĩnh vực giám định thì phải thông báo bằng văn bản và nêu rõ lý do. 
Trong thời hạn 01 năm, kể từ ngày được Chủ tịch Ủy ban nhân dân cấp tỉnh quyết định cho phép thay đổi, bổ sung lĩnh vực giám định, Văn phòng giám định tư pháp thực hiện đăng ký nội dung thay đổi, bổ sung tại Sở Tư pháp; quá thời hạn nêu trên, Văn phòng giám định tư pháp không thực hiện đăng ký thay đổi, bổ sung lĩnh vực giám định thì quyết định cho phép thay đổi, bổ sung lĩnh vực giám định hết hiệu lực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hợp lệ của Văn phòng giám định tư pháp xin thay đổi, bổ sung lĩnh vực giám định, Giám đốc Sở Tư pháp xem xét, thẩm định, thống nhất ý kiến với người đứng đầu cơ quan chuyên môn thuộc Ủy ban nhân dân cấp tỉnh quản lý lĩnh vực giám định tư pháp, trình Chủ tịch Ủy ban nhân dân cấp tỉnh xem xét, quyết định.
Trong thời hạn 15 ngày, kể từ ngày Sở Tư pháp trình hồ sơ, Chủ tịch Ủy ban nhân dân cấp tỉnh xem xét, quyết định cho phép thay đổi, bổ sung lĩnh vực giám định. Trường hợp không cho phép thay đổi, bổ sung lĩnh vực giám định thì phải thông báo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hợp lệ của Văn phòng giám định tư pháp xin thay đổi, bổ sung lĩnh vực giám định, Giám đốc Sở Tư pháp xem xét, thẩm định, thống nhất ý kiến với người đứng đầu cơ quan chuyên môn thuộc Ủy ban nhân dân cấp tỉnh quản lý lĩnh vực giám định tư pháp, trình Chủ tịch Ủy ban nhân dân cấp tỉnh xem xét, quyết định.
Trong thời hạn 15 ngày, kể từ ngày Sở Tư pháp trình hồ sơ, Chủ tịch Ủy ban nhân dân cấp tỉnh xem xét, quyết định cho phép thay đổi, bổ sung lĩnh vực giám định. Trường hợp không cho phép thay đổi, bổ sung lĩnh vực giám định thì phải thông báo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xin phép thay đổi, bổ sung lĩnh vực giám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về việc thay đổi, bổ sung lĩnh vực giám định, trong đó nêu rõ điều kiện về nhân lực, cơ sở vật chất, trang thiết bị, phương tiện giám định theo quy định của Bộ, cơ quan ngang Bộ quản lý chuyên môn về lĩnh vực giám định và kế hoạch triển khai thực hiện phù hợp với việc thay đổi, bổ sung lĩnh vực giám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quyết định bổ nhiệm giám định viên tư pháp phù hợp với việc thay đổi, bổ sung lĩnh vực giám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Quyết định cho phép thành lập Văn phòng giám định tư pháp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thay đổi, bổ sung lĩnh vực giám định của Văn phòng giám định tư pháp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13/2012/QH13</w:t>
            </w:r>
          </w:p>
        </w:tc>
        <w:tc>
          <w:p/>
          <w:p>
            <w:pPr>
              <w:spacing w:after="0" w:before="0" w:lineRule="auto" w:line="276"/>
              <w:jc w:val="left"/>
            </w:pPr>
            <w:r>
              <w:rPr>
                <w:rFonts w:ascii="Times New Roman" w:hAnsi="Times New Roman" w:cs="Times New Roman" w:eastAsia="Times New Roman"/>
                <w:b w:val="false"/>
                <w:sz w:val="26"/>
              </w:rPr>
              <w:t>Luật 13/2012/QH13</w:t>
            </w:r>
          </w:p>
        </w:tc>
        <w:tc>
          <w:p/>
          <w:p>
            <w:pPr>
              <w:spacing w:after="0" w:before="0" w:lineRule="auto" w:line="276"/>
              <w:jc w:val="left"/>
            </w:pPr>
            <w:r>
              <w:rPr>
                <w:rFonts w:ascii="Times New Roman" w:hAnsi="Times New Roman" w:cs="Times New Roman" w:eastAsia="Times New Roman"/>
                <w:b w:val="false"/>
                <w:sz w:val="26"/>
              </w:rPr>
              <w:t>20-06-2012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85/2013/NĐ-CP</w:t>
            </w:r>
          </w:p>
        </w:tc>
        <w:tc>
          <w:p/>
          <w:p>
            <w:pPr>
              <w:spacing w:after="0" w:before="0" w:lineRule="auto" w:line="276"/>
              <w:jc w:val="left"/>
            </w:pPr>
            <w:r>
              <w:rPr>
                <w:rFonts w:ascii="Times New Roman" w:hAnsi="Times New Roman" w:cs="Times New Roman" w:eastAsia="Times New Roman"/>
                <w:b w:val="false"/>
                <w:sz w:val="26"/>
              </w:rPr>
              <w:t>Nghị định 85/2013/NĐ-CP - Quy định chi tiết và biện pháp thi hành Luật Giám định tư pháp</w:t>
            </w:r>
          </w:p>
        </w:tc>
        <w:tc>
          <w:p/>
          <w:p>
            <w:pPr>
              <w:spacing w:after="0" w:before="0" w:lineRule="auto" w:line="276"/>
              <w:jc w:val="left"/>
            </w:pPr>
            <w:r>
              <w:rPr>
                <w:rFonts w:ascii="Times New Roman" w:hAnsi="Times New Roman" w:cs="Times New Roman" w:eastAsia="Times New Roman"/>
                <w:b w:val="false"/>
                <w:sz w:val="26"/>
              </w:rPr>
              <w:t>29-07-2013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56/2020/QH14</w:t>
            </w:r>
          </w:p>
        </w:tc>
        <w:tc>
          <w:p/>
          <w:p>
            <w:pPr>
              <w:spacing w:after="0" w:before="0" w:lineRule="auto" w:line="276"/>
              <w:jc w:val="left"/>
            </w:pPr>
            <w:r>
              <w:rPr>
                <w:rFonts w:ascii="Times New Roman" w:hAnsi="Times New Roman" w:cs="Times New Roman" w:eastAsia="Times New Roman"/>
                <w:b w:val="false"/>
                <w:sz w:val="26"/>
              </w:rPr>
              <w:t>Luật 56/2020/QH14</w:t>
            </w:r>
          </w:p>
        </w:tc>
        <w:tc>
          <w:p/>
          <w:p>
            <w:pPr>
              <w:spacing w:after="0" w:before="0" w:lineRule="auto" w:line="276"/>
              <w:jc w:val="left"/>
            </w:pPr>
            <w:r>
              <w:rPr>
                <w:rFonts w:ascii="Times New Roman" w:hAnsi="Times New Roman" w:cs="Times New Roman" w:eastAsia="Times New Roman"/>
                <w:b w:val="false"/>
                <w:sz w:val="26"/>
              </w:rPr>
              <w:t>10-06-2020</w:t>
            </w:r>
          </w:p>
        </w:tc>
        <w:tc>
          <w:p/>
        </w:tc>
      </w:tr>
      <w:tr>
        <w:tc>
          <w:p/>
          <w:p>
            <w:pPr>
              <w:spacing w:after="0" w:before="0" w:lineRule="auto" w:line="276"/>
              <w:jc w:val="left"/>
            </w:pPr>
            <w:r>
              <w:rPr>
                <w:rFonts w:ascii="Times New Roman" w:hAnsi="Times New Roman" w:cs="Times New Roman" w:eastAsia="Times New Roman"/>
                <w:b w:val="false"/>
                <w:sz w:val="26"/>
              </w:rPr>
              <w:t>157/2020/NĐ-CP</w:t>
            </w:r>
          </w:p>
        </w:tc>
        <w:tc>
          <w:p/>
          <w:p>
            <w:pPr>
              <w:spacing w:after="0" w:before="0" w:lineRule="auto" w:line="276"/>
              <w:jc w:val="left"/>
            </w:pPr>
            <w:r>
              <w:rPr>
                <w:rFonts w:ascii="Times New Roman" w:hAnsi="Times New Roman" w:cs="Times New Roman" w:eastAsia="Times New Roman"/>
                <w:b w:val="false"/>
                <w:sz w:val="26"/>
              </w:rPr>
              <w:t>Nghị định 157/2020/NĐ-CP</w:t>
            </w:r>
          </w:p>
        </w:tc>
        <w:tc>
          <w:p/>
          <w:p>
            <w:pPr>
              <w:spacing w:after="0" w:before="0" w:lineRule="auto" w:line="276"/>
              <w:jc w:val="left"/>
            </w:pPr>
            <w:r>
              <w:rPr>
                <w:rFonts w:ascii="Times New Roman" w:hAnsi="Times New Roman" w:cs="Times New Roman" w:eastAsia="Times New Roman"/>
                <w:b w:val="false"/>
                <w:sz w:val="26"/>
              </w:rPr>
              <w:t>31-12-2020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https://thutuc.dichvucong.gov.vn/p/home/dvc-tthc-thu-tuc-hanh-chinh-chi-tiet.html?ma_thu_tuc=1727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2025-11-27T16:33:19Z</dcterms:created>
  <dc:creator>Apache POI</dc:creator>
</cp:coreProperties>
</file>