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chấm dứt, thay đổi việc giám hộ giữa công dân Việt Nam cư trú ở nước ngoài với nhau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chấm dứt, thay đổi việc giám hộ giữa công dân Việt Nam cư trú ở nước ngoài với nhau</w:t>
      </w:r>
    </w:p>
    <w:p>
      <w:pPr>
        <w:spacing w:after="0" w:before="0" w:lineRule="auto" w:line="276"/>
        <w:jc w:val="both"/>
      </w:pPr>
      <w:r>
        <w:rPr>
          <w:rFonts w:ascii="Times New Roman" w:hAnsi="Times New Roman" w:cs="Times New Roman" w:eastAsia="Times New Roman"/>
          <w:b w:val="false"/>
          <w:sz w:val="26"/>
        </w:rPr>
        <w:t>- Người có yêu cầu đăng ký chấm dứt giám hộ chuẩn bị hồ sơ theo quy định và nộp hồ sơ tại Cơ quan đại diện Việt Nam ở nước ngoài nơi đã đăng ký giám hộ trước đó.</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thực hiện việc ghi vào Sổ đăng ký chấm dứt giám hộ và in Trích lục đăng ký chấm dứt giám hộ.
- Người có yêu cầu đăng ký chấm dứt giám hộ kiểm tra thông tin trên Trích lục đăng ký chấm dứt giám hộ, trong Sổ đăng ký chấm dứt giám hộ và ký tên vào Sổ đăng ký chấm dứt giám hộ, nhận Trích lục đăng ký chấm dứt giám hộ.</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t>Lệ phí : 30 USD</w:t>
              <w:t xml:space="preserve"> (Đăng ký chấm dứt giám hộ)</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chấm dứt giám hộ trực tiếp thực hiện hoặc ủy quyền cho người khác thực hiện nộp hồ sơ trực tiếp hoặc gửi hồ sơ qua hệ thống bưu chính tới Cơ quan đại diện Việt Nam ở nước ngoài nơi đã đăng ký giám hộ trước đó.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chấm dứt giám hộ theo mẫu tại Phụ lục Thông tư 04/2020/TT-BTP (nếu người có yêu cầu lựa chọn nộp hồ sơ theo hình thức trực tiếp). - Giấy tờ làm căn cứ chấm dứt giám hộ theo quy định của Bộ luật dân sự. - Văn bản ủy quyền theo quy định của pháp luật trong trường hợp ủy quyền thực hiện đăng ký chấm dứt giám hộ.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p>
            <w:pPr>
              <w:spacing w:after="0" w:before="0" w:lineRule="auto" w:line="276"/>
              <w:jc w:val="left"/>
            </w:pPr>
            <w:r>
              <w:rPr>
                <w:rFonts w:ascii="Times New Roman" w:hAnsi="Times New Roman" w:cs="Times New Roman" w:eastAsia="Times New Roman"/>
                <w:b w:val="false"/>
                <w:sz w:val="26"/>
              </w:rPr>
              <w:t>TỜ KHAI ĐĂNG KÝ CHẤM DỨT GIÁM HỘ.docx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 đăng ký chấm dứt giám hộ.  Trường hợp gửi hồ sơ qua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đăng ký chấm dứt giám hộ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91/2015/QH13	</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chấm dứt giám hộ.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2025-11-27T16:33:52Z</dcterms:created>
  <dc:creator>Apache POI</dc:creator>
</cp:coreProperties>
</file>