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quyết định chỉ định, chỉ định lại tổ chức hoạt động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Trường hợp đề nghị điều chỉnh nội dung của quyết định chỉ định, tổ chức đề nghị lập một (01) bộ hồ sơ theo quy định đến Tổng cục Tiêu chuẩn Đo lường chất lượng (gọi tắt Tổng cục).
Trường hợp đề nghị chỉ định lại, không ít hơn ba (3) tháng trước khi hết thời hạn hiệu lực của quyết định chỉ định đã cấp, tổ chức đề nghị lập một (01) bộ hồ sơ theo quy định đến Tổng cục. 
Bước 2: Tổng cục tiếp nhận hồ sơ, xem xét, thẩm định theo quy định.
- Nếu hồ sơ chưa đầy đủ, hợp lệ: Trong thời hạn mười (10) ngày làm việc kể từ ngày nhận hồ sơ, Tổng cục thông báo bằng văn bản cho tổ chức đề nghị những nội dung cần bổ sung, hoàn chỉnh.
- Nếu hồ sơ đầy đủ, hợp lệ: Tùy từng trường hợp cụ thể, Tổng cục xem xét, quyết định kiểm tra trên hồ sơ hoặc đánh giá tại cơ sở.
+ Trường hợp kiểm tra trên hồ sơ: Trong thời hạn mười (10) ngày kể từ ngày nhận đủ hồ sơ hợp lệ, Tổng cục ra quyết định chỉ định lại hoặc quyết định chỉ định điều chỉnh theo quy định cho tổ chức được chỉ định.
+ Trường hợp đánh giá tại cơ sở: Tổng cục ra quyết định thành lập đoàn đánh giá tại cơ sở.
Bước 3: 
Trong thời hạn ba mươi (30) ngày làm việc kể từ ngày ký quyết định thành lập đoàn đánh giá, trưởng đoàn đánh giá phải nộp hồ sơ kết quả đánh giá về Tổng cục.
Trường hợp tổ chức đề nghị có những điểm không phù hợp nhưng có thể khắc phục được thì đoàn đánh giá liệt kê các điểm không phù hợp, đề xuất thời hạn khắc phục và thông báo kết quả đánh giá cho tổ chức đề nghị. Tổ chức đề nghị tiến hành khắc phục các điểm không phù hợp và gửi báo cáo cho đoàn đánh giá. Đoàn đánh giá tiến hành thẩm định báo cáo khắc phục, trường hợp cần thiết đoàn đánh giá tiến hành đánh giá lại tại cơ sở. Trong trường hợp này, thời hạn khắc phục và thời gian đánh giá lại được cộng thêm vào thời hạn đánh giá.
Bước 4: Tổng cục xem xét kết quả đánh giá: Trong thời hạn mười (10) ngày kể từ ngày nhận được hồ sơ kết quả đánh giá tại cơ sở
- Nếu kết quả đánh giá đạt yêu cầu, Tổng cục ra quyết định chỉ định lại hoặc quyết định điều chỉnh nội dung của quyết định chỉ định tổ chức kiểm định, hiệu chuẩn, thử nghiệm phương tiện đo, chuẩn đo lường.
- Nếu kết quả đánh giá không đạt yêu cầu, Tổng cục thông báo bằng văn bản cho tổ chức đề nghị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chỉ định tổ chức kiểm định, hiệu chuẩn, thử nghiệm.</w:t>
            </w:r>
          </w:p>
        </w:tc>
        <w:tc>
          <w:p/>
          <w:p>
            <w:pPr>
              <w:spacing w:after="0" w:before="0" w:lineRule="auto" w:line="276"/>
              <w:jc w:val="left"/>
            </w:pPr>
            <w:r>
              <w:rPr>
                <w:rFonts w:ascii="Times New Roman" w:hAnsi="Times New Roman" w:cs="Times New Roman" w:eastAsia="Times New Roman"/>
                <w:b w:val="false"/>
                <w:sz w:val="26"/>
              </w:rPr>
              <w:t>Mau 6 - TT 24 ĐỀ NGHỊ CHỈ ĐỊNH THỰC HIỆN HOẠT ĐỘNG.doc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về cơ sở vật chất, kỹ thuật, nhân lực</w:t>
            </w:r>
          </w:p>
        </w:tc>
        <w:tc>
          <w:p/>
          <w:p>
            <w:pPr>
              <w:spacing w:after="0" w:before="0" w:lineRule="auto" w:line="276"/>
              <w:jc w:val="left"/>
            </w:pPr>
            <w:r>
              <w:rPr>
                <w:rFonts w:ascii="Times New Roman" w:hAnsi="Times New Roman" w:cs="Times New Roman" w:eastAsia="Times New Roman"/>
                <w:b w:val="false"/>
                <w:sz w:val="26"/>
              </w:rPr>
              <w:t>02-PL1 Bao cao co so vat chat nhan luc.doc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kiểm định, hiệu chuẩn, thử nghiệm đã thực hiện năm gần nhất.</w:t>
            </w:r>
          </w:p>
        </w:tc>
        <w:tc>
          <w:p/>
          <w:p>
            <w:pPr>
              <w:spacing w:after="0" w:before="0" w:lineRule="auto" w:line="276"/>
              <w:jc w:val="left"/>
            </w:pPr>
            <w:r>
              <w:rPr>
                <w:rFonts w:ascii="Times New Roman" w:hAnsi="Times New Roman" w:cs="Times New Roman" w:eastAsia="Times New Roman"/>
                <w:b w:val="false"/>
                <w:sz w:val="26"/>
              </w:rPr>
              <w:t>Mau 4 - ND 105 BÁO CÁO HOẠT ĐỘNG KIỂM ĐỊNH, HIỆU CHUẨN, THỬ NGHIỆM.doc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người đứng đầu tổ chức đề nghị quy định về nội dung, hình thức, việc chế tạo, quản lý và sử dụng chứng chỉ chứng chỉ kiểm định, hiệu chuẩn,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chứng nhận chuẩn đo lường dùng trực tiếp để kiểm định phương tiện đo nhóm 2 (trường hợp đề nghị chỉ định kiểm định phương tiện đo nhóm 2).</w:t>
            </w:r>
          </w:p>
        </w:tc>
        <w:tc>
          <w:p/>
          <w:p>
            <w:pPr>
              <w:spacing w:after="0" w:before="0" w:lineRule="auto" w:line="276"/>
              <w:jc w:val="left"/>
            </w:pPr>
            <w:r>
              <w:rPr>
                <w:rFonts w:ascii="Times New Roman" w:hAnsi="Times New Roman" w:cs="Times New Roman" w:eastAsia="Times New Roman"/>
                <w:b w:val="false"/>
                <w:sz w:val="26"/>
              </w:rPr>
              <w:t>Mẫu11.ĐNCNCĐL.doc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chứng nhận, cấp thẻ kiểm định viên đo lường (trường hợp đề nghị chỉ định kiểm định phương tiện đo nhóm 2).</w:t>
            </w:r>
          </w:p>
        </w:tc>
        <w:tc>
          <w:p/>
          <w:p>
            <w:pPr>
              <w:spacing w:after="0" w:before="0" w:lineRule="auto" w:line="276"/>
              <w:jc w:val="left"/>
            </w:pPr>
            <w:r>
              <w:rPr>
                <w:rFonts w:ascii="Times New Roman" w:hAnsi="Times New Roman" w:cs="Times New Roman" w:eastAsia="Times New Roman"/>
                <w:b w:val="false"/>
                <w:sz w:val="26"/>
              </w:rPr>
              <w:t>Mẫu 12. ĐNCNKĐVĐL.docx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hồ sơ của hệ thống quản lý đã thiết lập và duy trì đối với hoạt động kiểm định, hiệu chuẩn, thử nghiệm đề nghị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105/2016/NĐ-CP</w:t>
            </w:r>
          </w:p>
        </w:tc>
        <w:tc>
          <w:p/>
          <w:p>
            <w:pPr>
              <w:spacing w:after="0" w:before="0" w:lineRule="auto" w:line="276"/>
              <w:jc w:val="left"/>
            </w:pPr>
            <w:r>
              <w:rPr>
                <w:rFonts w:ascii="Times New Roman" w:hAnsi="Times New Roman" w:cs="Times New Roman" w:eastAsia="Times New Roman"/>
                <w:b w:val="false"/>
                <w:sz w:val="26"/>
              </w:rPr>
              <w:t>Nghị định 105/2016/NĐ-CP-Quy định về điều kiện hoạt động của tổ chức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24/2013/TT-BKHCN</w:t>
            </w:r>
          </w:p>
        </w:tc>
        <w:tc>
          <w:p/>
          <w:p>
            <w:pPr>
              <w:spacing w:after="0" w:before="0" w:lineRule="auto" w:line="276"/>
              <w:jc w:val="left"/>
            </w:pPr>
            <w:r>
              <w:rPr>
                <w:rFonts w:ascii="Times New Roman" w:hAnsi="Times New Roman" w:cs="Times New Roman" w:eastAsia="Times New Roman"/>
                <w:b w:val="false"/>
                <w:sz w:val="26"/>
              </w:rPr>
              <w:t>Quy định về hoạt động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30-09-2013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w:t>
            </w:r>
          </w:p>
        </w:tc>
        <w:tc>
          <w:p/>
          <w:p>
            <w:pPr>
              <w:spacing w:after="0" w:before="0" w:lineRule="auto" w:line="276"/>
              <w:jc w:val="left"/>
            </w:pPr>
            <w:r>
              <w:rPr>
                <w:rFonts w:ascii="Times New Roman" w:hAnsi="Times New Roman" w:cs="Times New Roman" w:eastAsia="Times New Roman"/>
                <w:b w:val="false"/>
                <w:sz w:val="26"/>
              </w:rPr>
              <w:t>09-11-2018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trường hợp điều chỉnh chỉ định: 
+ Tổ chức đã được cấp giấy chứng nhận đăng ký cung cấp dịch vụ kiểm định, hiệu chuẩn, thử nghiệm phương tiện đo, chuẩn đo lường đối với lĩnh vực phù hợp với lĩnh vực đề nghị chỉ định.
+ Chuẩn công tác và chất chuẩn dùng trực tiếp để kiểm định phương tiện đo nhóm 2 thuộc lĩnh vực hoạt động được chỉ định phải đáp ứng các yêu cầu tại văn bản kỹ thuật đo lường Việt Nam tương ứng, phải được hiệu chuẩn, thử nghiệm hoặc so sánh tại tổ chức hiệu chuẩn, thử nghiệm tại Việt Nam có lĩnh vực hoạt động phù hợp được chỉ định hoặc tại tổ chức kiểm định, hiệu chuẩn, thử nghiệm ở nước ngoài có lĩnh vực hoạt động phù hợp được công nhận hoặc chỉ định.
+ Có ít nhất 01 nhân viên kiểm định đã có chứng chỉ hoàn thành khóa đào tạo về kiểm định do Tổng cục tổ chức thực hiện tương ứng với lĩnh vực được chỉ định. 
- Đối với trường hợp chỉ định lại: Tổ chức đã được chỉ định thực hiện hoạt động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điều chỉnh quyết định chỉ định, chỉ định lại tổ chức hoạt động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2025-11-27T16:33:58Z</dcterms:created>
  <dc:creator>Apache POI</dc:creator>
</cp:coreProperties>
</file>