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bán lẻ rượu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đủ điều kiện bán lẻ rượu nộp hồ sơ trực tiếp hoặc qua đường bưu điện hoặc trực tuyến (nếu đủ điều kiện áp dụng) đến Ủy ban nhân dân cấp xã nơi thương nhân đặt trụ sở chính. 
- Trong thời hạn 10 ngày làm việc kể từ ngày nhận được hồ sơ đầy đủ, hợp lệ, Ủy ban nhân dân cấp xã xem xét, thẩm định và cấp giấy phép cho thương nhân. Trường hợp từ chối cấp phải trả lời bằng văn bản và nêu rõ lý do.
- Trường hợp chưa đủ hồ sơ hợp lệ, trong thời hạn 03 ngày làm việc kể từ ngày tiếp nhận hồ sơ, Ủy ban nhân dân cấp xã phải có văn bản yêu cầu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 hợp tác xã, liên hiệp hợp tác xã hoặc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sao hợp đồng thuê/mượn hoặc tài liệu chứng minh quyền sử dụng hợp pháp cơ sở dự kiến làm địa điểm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Bản sao văn bản giới thiệu hoặc hợp đồng nguyên tắc của thương nhân sản xuất rượu, thương nhân phân phối rượu hoặc thương nhân bán buôn rượu.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Đơn đề nghị cấp Giấy phép bán lẻ rượu theo Mẫu số 01 ban hành kèm theo Nghị định số 105/2017/NĐ-CP.</w:t>
            </w:r>
          </w:p>
        </w:tc>
        <w:tc>
          <w:p/>
          <w:p>
            <w:pPr>
              <w:spacing w:after="0" w:before="0" w:lineRule="auto" w:line="276"/>
              <w:jc w:val="left"/>
            </w:pPr>
            <w:r>
              <w:rPr>
                <w:rFonts w:ascii="Times New Roman" w:hAnsi="Times New Roman" w:cs="Times New Roman" w:eastAsia="Times New Roman"/>
                <w:b w:val="false"/>
                <w:sz w:val="26"/>
              </w:rPr>
              <w:t>ruou01.docx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lẻ rượu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hợp tác xã, liên hiệp hợp tác xã hoặc hộ kinh doanh được thành lập theo quy định của pháp luật 
b) Có quyền sử dụng hợp pháp địa điểm kinh doanh cố định, địa chỉ rõ ràng. 
c) Có văn bản giới thiệu hoặc hợp đồng nguyên tắc của thương nhân sản xuất rượu, thương nhân phân phối rượu hoặc thương nhân bán buôn rượu.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2025-11-27T16:34:59Z</dcterms:created>
  <dc:creator>Apache POI</dc:creator>
</cp:coreProperties>
</file>