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2.000654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Thay đổi cửa khẩu xuất khẩu, nhập khẩu quá cảnh hàng hóa của nước Cộng hòa nhân dân Trung Hoa qua lãnh thổ nước Cộng hòa xã hội chủ nghĩa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Chủ hàng gửi hồ sơ đề nghị thay đổi cửa khẩu xuất khẩu, nhập khẩu quá cảnh hàng hóa đến cơ quan có thẩm quyền giải quyết việc thay đổi cửa khẩu quá cảnh.
Thời hạn giải quyết hồ sơ đề nghị thay đổi cửa khẩu quá cảnh hàng hóa trong vòng 07 ngày làm việc, kể từ ngày nhận đủ hồ sơ hợp lệ;
Trường hợp hồ sơ chưa đầy đủ, chưa hợp lệ, trong vòng 03 ngày làm việc, kể từ ngày nhận được hồ sơ, cơ quan có thẩm quyền quy định tại Khoản 1 Điều này có văn bản gửi chủ hàng yêu cầu bổ sung, chỉnh sửa;
Trường hợp không cho phép thay đổi cửa khẩu quá cảnh hàng hóa, cơ quan có thẩm quyền quy định tại Khoản 1 Điều này có văn bản trả lời chủ hàng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thay đổi cửa khẩu quá cảnh hàng hóa của chủ hàng: 01 (một)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phép quá cảnh hàng hóa đã được cấp: 01 (một) bản sao (có ký xác nhận và đóng dấu sao y bản chính của chủ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xác nhận của cơ quan Hải quan về tình trạng lô hàng quá cảnh: 01 (một)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Tờ khai Hải quan của lô hàng quá cảnh: 01 (một) bản sao (có ký xác nhận và đóng dấu sao y bản chính của chủ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cho phép Thay đổi cửa khẩu xuất khẩu, nhập khẩu quá cảnh hàng hóa của nước Cộng hòa nhân dân Trung Hoa qua lãnh thổ nước Cộng hòa xã hội chủ nghĩa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187/2013/NĐ-CP</w:t>
            </w:r>
          </w:p>
        </w:tc>
        <w:tc>
          <w:p/>
          <w:p>
            <w:pPr>
              <w:spacing w:after="0" w:before="0" w:lineRule="auto" w:line="276"/>
              <w:jc w:val="left"/>
            </w:pPr>
            <w:r>
              <w:rPr>
                <w:rFonts w:ascii="Times New Roman" w:hAnsi="Times New Roman" w:cs="Times New Roman" w:eastAsia="Times New Roman"/>
                <w:b w:val="false"/>
                <w:sz w:val="26"/>
              </w:rPr>
              <w:t>Quy định chi tiết thi hành Luật Thương mại về hoạt động mua bán hàng hóa quốc tế và các hoạt động đại lý mua, bán, gia công và quá cảnh hàng hóa với nước ngoài</w:t>
            </w:r>
          </w:p>
        </w:tc>
        <w:tc>
          <w:p/>
          <w:p>
            <w:pPr>
              <w:spacing w:after="0" w:before="0" w:lineRule="auto" w:line="276"/>
              <w:jc w:val="left"/>
            </w:pPr>
            <w:r>
              <w:rPr>
                <w:rFonts w:ascii="Times New Roman" w:hAnsi="Times New Roman" w:cs="Times New Roman" w:eastAsia="Times New Roman"/>
                <w:b w:val="false"/>
                <w:sz w:val="26"/>
              </w:rPr>
              <w:t>20-11-2013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11/2015/TT-BCT</w:t>
            </w:r>
          </w:p>
        </w:tc>
        <w:tc>
          <w:p/>
          <w:p>
            <w:pPr>
              <w:spacing w:after="0" w:before="0" w:lineRule="auto" w:line="276"/>
              <w:jc w:val="left"/>
            </w:pPr>
            <w:r>
              <w:rPr>
                <w:rFonts w:ascii="Times New Roman" w:hAnsi="Times New Roman" w:cs="Times New Roman" w:eastAsia="Times New Roman"/>
                <w:b w:val="false"/>
                <w:sz w:val="26"/>
              </w:rPr>
              <w:t>Quy định về quá cảnh hàng hóa của nước Cộng hòa Nhân dân Trung Hoa qua lãnh thổ nước Cộng hòa xã hội chủ nghĩa Việt Nam</w:t>
            </w:r>
          </w:p>
        </w:tc>
        <w:tc>
          <w:p/>
          <w:p>
            <w:pPr>
              <w:spacing w:after="0" w:before="0" w:lineRule="auto" w:line="276"/>
              <w:jc w:val="left"/>
            </w:pPr>
            <w:r>
              <w:rPr>
                <w:rFonts w:ascii="Times New Roman" w:hAnsi="Times New Roman" w:cs="Times New Roman" w:eastAsia="Times New Roman"/>
                <w:b w:val="false"/>
                <w:sz w:val="26"/>
              </w:rPr>
              <w:t>04-06-2015</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https://thutuc.dichvucong.gov.vn/p/home/dvc-tthc-thu-tuc-hanh-chinh-chi-tiet.html?ma_thu_tuc=2032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2025-11-27T16:37:36Z</dcterms:created>
  <dc:creator>Apache POI</dc:creator>
</cp:coreProperties>
</file>