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2.000666</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985/QĐ-BCT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sửa đổi, bổ sung Giấy xác nhận đủ điều kiện làm tổng đại lý kinh doanh xăng dầu thuộc thẩm quyền cấp của Sở Công Thương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không được luật giao cho địa phương quy định hoặc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Lưu thông hàng hóa trong nước</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Thương nhân gửi một (01) bộ hồ sơ về Sở Công Thương.
- Trường hợp chưa đủ hồ sơ hợp lệ, trong vòng bảy (07) ngày làm việc kể từ ngày tiếp nhận hồ sơ của thương nhân, Sở Công Thương có văn bản yêu cầu thương nhân bổ sung.
- Trong thời hạn ba mươi (30) ngày làm việc kể từ khi nhận được hồ sơ hợp lệ, Sở Công Thương có trách nhiệm xem xét, thẩm định và cấp sửa đổi, bổ sung Giấy xác nhận đủ điều kiện làm tổng đại lý kinh doanh xăng dầu theo Mẫu số 8 tại Phụ lục kèm theo Nghị định số 83/2014/NĐ-CP cho thương nhân. Trường hợp từ chối cấp Giấy xác nhận do không đủ điều kiện, Sở Công Thương phải trả lời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địnhcủa Bộ Tài chính)</w:t>
            </w:r>
          </w:p>
        </w:tc>
        <w:tc>
          <w:p/>
          <w:p>
            <w:pPr>
              <w:spacing w:after="0" w:before="0" w:lineRule="auto" w:line="276"/>
              <w:jc w:val="left"/>
            </w:pPr>
            <w:r>
              <w:rPr>
                <w:rFonts w:ascii="Times New Roman" w:hAnsi="Times New Roman" w:cs="Times New Roman" w:eastAsia="Times New Roman"/>
                <w:b w:val="false"/>
                <w:sz w:val="26"/>
              </w:rPr>
              <w:t>Thương nhân gửi hồ sơ qua đường công văn hoặc qua thư điện tử theo địa chỉ do Sở Công Thương thông báo trên trang thông tin điện tử.</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địnhcủa Bộ Tài chính)</w:t>
            </w:r>
          </w:p>
        </w:tc>
        <w:tc>
          <w:p/>
          <w:p>
            <w:pPr>
              <w:spacing w:after="0" w:before="0" w:lineRule="auto" w:line="276"/>
              <w:jc w:val="left"/>
            </w:pPr>
            <w:r>
              <w:rPr>
                <w:rFonts w:ascii="Times New Roman" w:hAnsi="Times New Roman" w:cs="Times New Roman" w:eastAsia="Times New Roman"/>
                <w:b w:val="false"/>
                <w:sz w:val="26"/>
              </w:rPr>
              <w:t>Thương nhân gửi hồ sơ qua đường công văn hoặc qua thư điện tử theo địa chỉ do Sở Công Thương thông báo trên trang thông tin điện tử.</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 làm việc</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địnhcủa Bộ Tài chính)</w:t>
            </w:r>
          </w:p>
        </w:tc>
        <w:tc>
          <w:p/>
          <w:p>
            <w:pPr>
              <w:spacing w:after="0" w:before="0" w:lineRule="auto" w:line="276"/>
              <w:jc w:val="left"/>
            </w:pPr>
            <w:r>
              <w:rPr>
                <w:rFonts w:ascii="Times New Roman" w:hAnsi="Times New Roman" w:cs="Times New Roman" w:eastAsia="Times New Roman"/>
                <w:b w:val="false"/>
                <w:sz w:val="26"/>
              </w:rPr>
              <w:t>Thương nhân gửi hồ sơ qua đường công văn hoặc qua thư điện tử theo địa chỉ do Sở Công Thương thông báo trên trang thông tin điện tử.</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Trường hợp có thay đổi các nội dung của Giấy xác nhận đủ điều kiện làm tổng đại lý kinh doanh xăng dầu, thương nhân phải lập hồ sơ gửi về cơ quan có thẩm quyền đề nghị bổ sung, sửa đổi Giấy xác nhận. Hồ sơ gồm:</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Đơn đề nghị cấp bổ sung, sửa đổi Giấy xác nhận đủ điều kiện làm tổng đại lý kinh doanh xăng dầu theo Mẫu số 7 tại Phụ lục kèm theo Nghị định số 83/2014/NĐ-CP;</w:t>
            </w:r>
          </w:p>
        </w:tc>
        <w:tc>
          <w:p/>
          <w:p>
            <w:pPr>
              <w:spacing w:after="0" w:before="0" w:lineRule="auto" w:line="276"/>
              <w:jc w:val="left"/>
            </w:pPr>
            <w:r>
              <w:rPr>
                <w:rFonts w:ascii="Times New Roman" w:hAnsi="Times New Roman" w:cs="Times New Roman" w:eastAsia="Times New Roman"/>
                <w:b w:val="false"/>
                <w:sz w:val="26"/>
              </w:rPr>
              <w:t>Mus7.docx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gốc Giấy xác nhận đủ điều kiện làm tổng đại lý kinh doanh xăng dầu đã được cấp;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Các tài liệu chứng minh yêu cầu bổ sung, sửa đổi.</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Sở Công thương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xác nhận đủ điều kiện làm tổng đại lý kinh doanh xăng dầu</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83/2014/NĐ-CP</w:t>
            </w:r>
          </w:p>
        </w:tc>
        <w:tc>
          <w:p/>
          <w:p>
            <w:pPr>
              <w:spacing w:after="0" w:before="0" w:lineRule="auto" w:line="276"/>
              <w:jc w:val="left"/>
            </w:pPr>
            <w:r>
              <w:rPr>
                <w:rFonts w:ascii="Times New Roman" w:hAnsi="Times New Roman" w:cs="Times New Roman" w:eastAsia="Times New Roman"/>
                <w:b w:val="false"/>
                <w:sz w:val="26"/>
              </w:rPr>
              <w:t>Nghị định 83/2014/NĐ-CP</w:t>
            </w:r>
          </w:p>
        </w:tc>
        <w:tc>
          <w:p/>
          <w:p>
            <w:pPr>
              <w:spacing w:after="0" w:before="0" w:lineRule="auto" w:line="276"/>
              <w:jc w:val="left"/>
            </w:pPr>
            <w:r>
              <w:rPr>
                <w:rFonts w:ascii="Times New Roman" w:hAnsi="Times New Roman" w:cs="Times New Roman" w:eastAsia="Times New Roman"/>
                <w:b w:val="false"/>
                <w:sz w:val="26"/>
              </w:rPr>
              <w:t>03-09-2014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38/2014/TT-BCT</w:t>
            </w:r>
          </w:p>
        </w:tc>
        <w:tc>
          <w:p/>
          <w:p>
            <w:pPr>
              <w:spacing w:after="0" w:before="0" w:lineRule="auto" w:line="276"/>
              <w:jc w:val="left"/>
            </w:pPr>
            <w:r>
              <w:rPr>
                <w:rFonts w:ascii="Times New Roman" w:hAnsi="Times New Roman" w:cs="Times New Roman" w:eastAsia="Times New Roman"/>
                <w:b w:val="false"/>
                <w:sz w:val="26"/>
              </w:rPr>
              <w:t>Thông tư 38/2014/TT-BCT</w:t>
            </w:r>
          </w:p>
        </w:tc>
        <w:tc>
          <w:p/>
          <w:p>
            <w:pPr>
              <w:spacing w:after="0" w:before="0" w:lineRule="auto" w:line="276"/>
              <w:jc w:val="left"/>
            </w:pPr>
            <w:r>
              <w:rPr>
                <w:rFonts w:ascii="Times New Roman" w:hAnsi="Times New Roman" w:cs="Times New Roman" w:eastAsia="Times New Roman"/>
                <w:b w:val="false"/>
                <w:sz w:val="26"/>
              </w:rPr>
              <w:t>24-10-2014</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95/2021/NĐ-CP</w:t>
            </w:r>
          </w:p>
        </w:tc>
        <w:tc>
          <w:p/>
          <w:p>
            <w:pPr>
              <w:spacing w:after="0" w:before="0" w:lineRule="auto" w:line="276"/>
              <w:jc w:val="left"/>
            </w:pPr>
            <w:r>
              <w:rPr>
                <w:rFonts w:ascii="Times New Roman" w:hAnsi="Times New Roman" w:cs="Times New Roman" w:eastAsia="Times New Roman"/>
                <w:b w:val="false"/>
                <w:sz w:val="26"/>
              </w:rPr>
              <w:t>Nghị định 95/2021/NĐ-CP sửa đổi, bổ sung một số điều của Nghị định số 83/2014/NĐ-CP ngày 03 tháng 9 năm 2014 của Chính phủ về kinh doanh xăng dầu.</w:t>
            </w:r>
          </w:p>
        </w:tc>
        <w:tc>
          <w:p/>
          <w:p>
            <w:pPr>
              <w:spacing w:after="0" w:before="0" w:lineRule="auto" w:line="276"/>
              <w:jc w:val="left"/>
            </w:pPr>
            <w:r>
              <w:rPr>
                <w:rFonts w:ascii="Times New Roman" w:hAnsi="Times New Roman" w:cs="Times New Roman" w:eastAsia="Times New Roman"/>
                <w:b w:val="false"/>
                <w:sz w:val="26"/>
              </w:rPr>
              <w:t>01-11-2021</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17/2021/TT-BCT</w:t>
            </w:r>
          </w:p>
        </w:tc>
        <w:tc>
          <w:p/>
          <w:p>
            <w:pPr>
              <w:spacing w:after="0" w:before="0" w:lineRule="auto" w:line="276"/>
              <w:jc w:val="left"/>
            </w:pPr>
            <w:r>
              <w:rPr>
                <w:rFonts w:ascii="Times New Roman" w:hAnsi="Times New Roman" w:cs="Times New Roman" w:eastAsia="Times New Roman"/>
                <w:b w:val="false"/>
                <w:sz w:val="26"/>
              </w:rPr>
              <w:t>Sửa đổi, bổ sung một số điều của Thông tư số 38/2014/TT-BCT ngày 24 tháng 10 năm 2014 của Bộ trưởng Bộ Công Thương quy định chi tiết một số điều của Nghị định số 83/2014/NĐ-CP ngày 03 tháng 9 năm 2014 của Chính phủ về kinh doanh xăng dầu</w:t>
            </w:r>
          </w:p>
        </w:tc>
        <w:tc>
          <w:p/>
          <w:p>
            <w:pPr>
              <w:spacing w:after="0" w:before="0" w:lineRule="auto" w:line="276"/>
              <w:jc w:val="left"/>
            </w:pPr>
            <w:r>
              <w:rPr>
                <w:rFonts w:ascii="Times New Roman" w:hAnsi="Times New Roman" w:cs="Times New Roman" w:eastAsia="Times New Roman"/>
                <w:b w:val="false"/>
                <w:sz w:val="26"/>
              </w:rPr>
              <w:t>15-11-2021</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18/2025/TT-BCT</w:t>
            </w:r>
          </w:p>
        </w:tc>
        <w:tc>
          <w:p/>
          <w:p>
            <w:pPr>
              <w:spacing w:after="0" w:before="0" w:lineRule="auto" w:line="276"/>
              <w:jc w:val="left"/>
            </w:pPr>
            <w:r>
              <w:rPr>
                <w:rFonts w:ascii="Times New Roman" w:hAnsi="Times New Roman" w:cs="Times New Roman" w:eastAsia="Times New Roman"/>
                <w:b w:val="false"/>
                <w:sz w:val="26"/>
              </w:rPr>
              <w:t>Thông tư số 18/2025/TT-BCT của Bộ Công thương: Sửa đổi, bổ sung, bãi bỏ một số quy định tại các Thông tư quy định về kinh doanh xăng dầu</w:t>
            </w:r>
          </w:p>
        </w:tc>
        <w:tc>
          <w:p/>
          <w:p>
            <w:pPr>
              <w:spacing w:after="0" w:before="0" w:lineRule="auto" w:line="276"/>
              <w:jc w:val="left"/>
            </w:pPr>
            <w:r>
              <w:rPr>
                <w:rFonts w:ascii="Times New Roman" w:hAnsi="Times New Roman" w:cs="Times New Roman" w:eastAsia="Times New Roman"/>
                <w:b w:val="false"/>
                <w:sz w:val="26"/>
              </w:rPr>
              <w:t>13-03-2025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Thương nhân kinh doanh xăng dầu đã được cấp Giấy xác nhận đủ điều kiện làm tổng đại lý kinh doanh xăng dầu.</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https://thutuc.dichvucong.gov.vn/p/home/dvc-tthc-thu-tuc-hanh-chinh-chi-tiet.html?ma_thu_tuc=2117</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2025-11-27T16:38:19Z</dcterms:created>
  <dc:creator>Apache POI</dc:creator>
</cp:coreProperties>
</file>