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2.000670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3565/QĐ-NHCS</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phê duyệt cho vay nhà ở vùng thường xuyên ngập lũ đồng bằng sông Cửu Long đối với hộ gia đình vay vốn để tự xây dựng nhà ở</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 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tín dụng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 Các thành viên hộ gia đình từ đủ 18 tuổi trở lên, có năng lực hành vi dân sự đầy đủ theo quy định của pháp luật, thỏa thuận và lập Giấy ủy quyền (mẫu số 01/UQ) cho 01 trong số các thành viên là đại diện đứng tên người vay và thực hiện các giao dịch với NHCSXH trước sự chứng kiến của Trưởng thôn (Giấy ủy quyền được nộp cho Ban quản lý Tổ Tiết kiệm và vay vốn). 
- Hộ vay gia nhập Tổ Tiết kiệm và vay vốn (TK&amp;VV) tại nơi sinh sống.
- Hộ vay viết Giấy đề nghị vay vốn kiêm phương án sử dụng vốn vay (mẫu số 01/TD) gửi Tổ trưởng Tổ TK&amp;VV.</w:t>
      </w:r>
    </w:p>
    <w:p>
      <w:pPr>
        <w:spacing w:after="0" w:before="0" w:lineRule="auto" w:line="276"/>
        <w:jc w:val="both"/>
      </w:pPr>
      <w:r>
        <w:rPr>
          <w:rFonts w:ascii="Times New Roman" w:hAnsi="Times New Roman" w:cs="Times New Roman" w:eastAsia="Times New Roman"/>
          <w:b w:val="false"/>
          <w:sz w:val="26"/>
        </w:rPr>
        <w:t>Bước 2: 
- Tổ TK&amp;VV nhận giấy đề nghị vay vốn của tổ viên, tiến hành tổ chức họp Tổ để bình xét những hộ vay đủ điều kiện vay vốn, lập Danh sách tổ viên  đề nghị vay vốn NHCSXH (mẫu số 03/TD) kèm Giấy đề nghị vay vốn của các tổ viên trình UBND cấp xã.
- UBND cấp xã xác nhận và phê duyệt Danh sách tổ viên đề nghị vay vốn NHCSXH (mẫu 03/TD).
- Sau khi có xác nhận của UBND cấp xã, Tổ có trách nhiệm gửi bộ hồ sơ xin vay tới NHCSXH nơi thực hiện thủ tục để làm thủ tục phê duyệt cho vay.</w:t>
      </w:r>
    </w:p>
    <w:p>
      <w:pPr>
        <w:spacing w:after="0" w:before="0" w:lineRule="auto" w:line="276"/>
        <w:jc w:val="both"/>
      </w:pPr>
      <w:r>
        <w:rPr>
          <w:rFonts w:ascii="Times New Roman" w:hAnsi="Times New Roman" w:cs="Times New Roman" w:eastAsia="Times New Roman"/>
          <w:b w:val="false"/>
          <w:sz w:val="26"/>
        </w:rPr>
        <w:t>Bước 3: 
- NHCSXH nơi thực hiện thủ tục tiếp nhận bộ hồ sơ vay vốn tiến hành đối chiếu với danh sách hộ dân được vay vốn từ NHCSXH để tự xây dựng nhà ở và xem xét, phê duyệt cho vay.</w:t>
      </w:r>
    </w:p>
    <w:p>
      <w:pPr>
        <w:spacing w:after="0" w:before="0" w:lineRule="auto" w:line="276"/>
        <w:jc w:val="both"/>
      </w:pPr>
      <w:r>
        <w:rPr>
          <w:rFonts w:ascii="Times New Roman" w:hAnsi="Times New Roman" w:cs="Times New Roman" w:eastAsia="Times New Roman"/>
          <w:b w:val="false"/>
          <w:sz w:val="26"/>
        </w:rPr>
        <w:t>Bước 4:
- Sau khi phê duyệt, NHCSXH nơi thực hiện thủ tục gửi Thông báo kết quả phê duyệt cho vay (mẫu số 04/TD) tới UBND cấp xã. UBND cấp xã thông báo cho tổ chức Hội nhận ủy thác cấp xã đế Tổ chức Hội thông báo đến Tổ TK&amp;VV, Tổ TK&amp;VV thông báo đến từng người vay.</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Người vay nộp hồ sơ đề nghị vay vốn trực tiếp cho Tổ TK&amp;VV nơi hộ vay sinh sống. Tổ TK&amp;VV gửi bộ hồ sơ xin vay tới NHCSXH nơi thực hiện thủ tục để làm thủ tục phê duyệt cho vay.
- Trong thời gian 03 ngày làm việc kể từ ngày NHCSXH nơi thực hiện thủ tục nhận được hồ sơ đầy đủ, hợp lệ.
</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Đối với người vay: Giấy ủy quyền (mẫu số 01/UQ)</w:t>
            </w:r>
          </w:p>
        </w:tc>
        <w:tc>
          <w:p/>
          <w:p>
            <w:pPr>
              <w:spacing w:after="0" w:before="0" w:lineRule="auto" w:line="276"/>
              <w:jc w:val="left"/>
            </w:pPr>
            <w:r>
              <w:rPr>
                <w:rFonts w:ascii="Times New Roman" w:hAnsi="Times New Roman" w:cs="Times New Roman" w:eastAsia="Times New Roman"/>
                <w:b w:val="false"/>
                <w:sz w:val="26"/>
              </w:rPr>
              <w:t>01-UQ(SĐ)-VB-5650-NHCS-TDNN.doc</w:t>
            </w:r>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Đối với người vay: Giấy đề nghị vay vốn kiêm phương án sử dụng vốn vay (Mẫu số 01/TD)</w:t>
            </w:r>
          </w:p>
        </w:tc>
        <w:tc>
          <w:p/>
          <w:p>
            <w:pPr>
              <w:spacing w:after="0" w:before="0" w:lineRule="auto" w:line="276"/>
              <w:jc w:val="left"/>
            </w:pPr>
            <w:r>
              <w:rPr>
                <w:rFonts w:ascii="Times New Roman" w:hAnsi="Times New Roman" w:cs="Times New Roman" w:eastAsia="Times New Roman"/>
                <w:b w:val="false"/>
                <w:sz w:val="26"/>
              </w:rPr>
              <w:t>01-TD(SĐ)-VB-5589-29.12.2017.doc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Đối với người vay: Danh sách hộ dân được vay vốn từ NHCSXH để tự xây dựng nhà ở do UBND tỉnh hoặc uỷ quyền cho UBND huyện phê duyệt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Đối với người vay: Giấy xác nhận nhà ở đã hoàn thành xây dựng phần thô của UBND cấp xã</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Đối với Tổ TK&amp;VV: - Danh sách tổ viên đề nghị vay vốn NHCSXH (mẫu số 03/TD): 04 liên.</w:t>
            </w:r>
          </w:p>
        </w:tc>
        <w:tc>
          <w:p/>
          <w:p>
            <w:pPr>
              <w:spacing w:after="0" w:before="0" w:lineRule="auto" w:line="276"/>
              <w:jc w:val="left"/>
            </w:pPr>
            <w:r>
              <w:rPr>
                <w:rFonts w:ascii="Times New Roman" w:hAnsi="Times New Roman" w:cs="Times New Roman" w:eastAsia="Times New Roman"/>
                <w:b w:val="false"/>
                <w:sz w:val="26"/>
              </w:rPr>
              <w:t>03-TD (VB-3524 ngày 28.4.2023).doc</w:t>
            </w:r>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2</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Chính sách xã hội</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Ngân hàng Chính sách xã hội</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Ủy ban Nhân dân xã, phường, thị trấn., Các tổ chức chính trị - xã hội</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Thông báo kết quả phê duyệt cho vay (Mẫu số 04/TD)</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78/2002/NĐ-CP</w:t>
            </w:r>
          </w:p>
        </w:tc>
        <w:tc>
          <w:p/>
          <w:p>
            <w:pPr>
              <w:spacing w:after="0" w:before="0" w:lineRule="auto" w:line="276"/>
              <w:jc w:val="left"/>
            </w:pPr>
            <w:r>
              <w:rPr>
                <w:rFonts w:ascii="Times New Roman" w:hAnsi="Times New Roman" w:cs="Times New Roman" w:eastAsia="Times New Roman"/>
                <w:b w:val="false"/>
                <w:sz w:val="26"/>
              </w:rPr>
              <w:t>Nghị định 78/2002/NĐ-CP</w:t>
            </w:r>
          </w:p>
        </w:tc>
        <w:tc>
          <w:p/>
          <w:p>
            <w:pPr>
              <w:spacing w:after="0" w:before="0" w:lineRule="auto" w:line="276"/>
              <w:jc w:val="left"/>
            </w:pPr>
            <w:r>
              <w:rPr>
                <w:rFonts w:ascii="Times New Roman" w:hAnsi="Times New Roman" w:cs="Times New Roman" w:eastAsia="Times New Roman"/>
                <w:b w:val="false"/>
                <w:sz w:val="26"/>
              </w:rPr>
              <w:t>04-10-2002</w:t>
            </w:r>
          </w:p>
        </w:tc>
        <w:tc>
          <w:p/>
          <w:p>
            <w:pPr>
              <w:spacing w:after="0" w:before="0" w:lineRule="auto" w:line="276"/>
              <w:jc w:val="left"/>
            </w:pPr>
            <w:r>
              <w:rPr>
                <w:rFonts w:ascii="Times New Roman" w:hAnsi="Times New Roman" w:cs="Times New Roman" w:eastAsia="Times New Roman"/>
                <w:b w:val="false"/>
                <w:sz w:val="26"/>
              </w:rPr>
              <w:t>Phòng Chính phủ số</w:t>
            </w:r>
          </w:p>
        </w:tc>
      </w:tr>
      <w:tr>
        <w:tc>
          <w:p/>
          <w:p>
            <w:pPr>
              <w:spacing w:after="0" w:before="0" w:lineRule="auto" w:line="276"/>
              <w:jc w:val="left"/>
            </w:pPr>
            <w:r>
              <w:rPr>
                <w:rFonts w:ascii="Times New Roman" w:hAnsi="Times New Roman" w:cs="Times New Roman" w:eastAsia="Times New Roman"/>
                <w:b w:val="false"/>
                <w:sz w:val="26"/>
              </w:rPr>
              <w:t>720/NHCS-TDNN-HSSV</w:t>
            </w:r>
          </w:p>
        </w:tc>
        <w:tc>
          <w:p/>
          <w:p>
            <w:pPr>
              <w:spacing w:after="0" w:before="0" w:lineRule="auto" w:line="276"/>
              <w:jc w:val="left"/>
            </w:pPr>
            <w:r>
              <w:rPr>
                <w:rFonts w:ascii="Times New Roman" w:hAnsi="Times New Roman" w:cs="Times New Roman" w:eastAsia="Times New Roman"/>
                <w:b w:val="false"/>
                <w:sz w:val="26"/>
              </w:rPr>
              <w:t>	Văn bản số 720/NHCS-TDNN-HSSV</w:t>
            </w:r>
          </w:p>
        </w:tc>
        <w:tc>
          <w:p/>
          <w:p>
            <w:pPr>
              <w:spacing w:after="0" w:before="0" w:lineRule="auto" w:line="276"/>
              <w:jc w:val="left"/>
            </w:pPr>
            <w:r>
              <w:rPr>
                <w:rFonts w:ascii="Times New Roman" w:hAnsi="Times New Roman" w:cs="Times New Roman" w:eastAsia="Times New Roman"/>
                <w:b w:val="false"/>
                <w:sz w:val="26"/>
              </w:rPr>
              <w:t>29-03-2011</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r>
        <w:tc>
          <w:p/>
          <w:p>
            <w:pPr>
              <w:spacing w:after="0" w:before="0" w:lineRule="auto" w:line="276"/>
              <w:jc w:val="left"/>
            </w:pPr>
            <w:r>
              <w:rPr>
                <w:rFonts w:ascii="Times New Roman" w:hAnsi="Times New Roman" w:cs="Times New Roman" w:eastAsia="Times New Roman"/>
                <w:b w:val="false"/>
                <w:sz w:val="26"/>
              </w:rPr>
              <w:t>	91/2015/QH13</w:t>
            </w:r>
          </w:p>
        </w:tc>
        <w:tc>
          <w:p/>
          <w:p>
            <w:pPr>
              <w:spacing w:after="0" w:before="0" w:lineRule="auto" w:line="276"/>
              <w:jc w:val="left"/>
            </w:pPr>
            <w:r>
              <w:rPr>
                <w:rFonts w:ascii="Times New Roman" w:hAnsi="Times New Roman" w:cs="Times New Roman" w:eastAsia="Times New Roman"/>
                <w:b w:val="false"/>
                <w:sz w:val="26"/>
              </w:rPr>
              <w:t>Bộ luật 91/2015/QH13</w:t>
            </w:r>
          </w:p>
        </w:tc>
        <w:tc>
          <w:p/>
          <w:p>
            <w:pPr>
              <w:spacing w:after="0" w:before="0" w:lineRule="auto" w:line="276"/>
              <w:jc w:val="left"/>
            </w:pPr>
            <w:r>
              <w:rPr>
                <w:rFonts w:ascii="Times New Roman" w:hAnsi="Times New Roman" w:cs="Times New Roman" w:eastAsia="Times New Roman"/>
                <w:b w:val="false"/>
                <w:sz w:val="26"/>
              </w:rPr>
              <w:t>24-11-2015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5650/NHCS-TDNN</w:t>
            </w:r>
          </w:p>
        </w:tc>
        <w:tc>
          <w:p/>
          <w:p>
            <w:pPr>
              <w:spacing w:after="0" w:before="0" w:lineRule="auto" w:line="276"/>
              <w:jc w:val="left"/>
            </w:pPr>
            <w:r>
              <w:rPr>
                <w:rFonts w:ascii="Times New Roman" w:hAnsi="Times New Roman" w:cs="Times New Roman" w:eastAsia="Times New Roman"/>
                <w:b w:val="false"/>
                <w:sz w:val="26"/>
              </w:rPr>
              <w:t>Công văn số 5650/NHCS-TDNN</w:t>
            </w:r>
          </w:p>
        </w:tc>
        <w:tc>
          <w:p/>
          <w:p>
            <w:pPr>
              <w:spacing w:after="0" w:before="0" w:lineRule="auto" w:line="276"/>
              <w:jc w:val="left"/>
            </w:pPr>
            <w:r>
              <w:rPr>
                <w:rFonts w:ascii="Times New Roman" w:hAnsi="Times New Roman" w:cs="Times New Roman" w:eastAsia="Times New Roman"/>
                <w:b w:val="false"/>
                <w:sz w:val="26"/>
              </w:rPr>
              <w:t>28-12-2016</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r>
        <w:tc>
          <w:p/>
          <w:p>
            <w:pPr>
              <w:spacing w:after="0" w:before="0" w:lineRule="auto" w:line="276"/>
              <w:jc w:val="left"/>
            </w:pPr>
            <w:r>
              <w:rPr>
                <w:rFonts w:ascii="Times New Roman" w:hAnsi="Times New Roman" w:cs="Times New Roman" w:eastAsia="Times New Roman"/>
                <w:b w:val="false"/>
                <w:sz w:val="26"/>
              </w:rPr>
              <w:t>105/2002/QĐ-TTg</w:t>
            </w:r>
          </w:p>
        </w:tc>
        <w:tc>
          <w:p/>
          <w:p>
            <w:pPr>
              <w:spacing w:after="0" w:before="0" w:lineRule="auto" w:line="276"/>
              <w:jc w:val="left"/>
            </w:pPr>
            <w:r>
              <w:rPr>
                <w:rFonts w:ascii="Times New Roman" w:hAnsi="Times New Roman" w:cs="Times New Roman" w:eastAsia="Times New Roman"/>
                <w:b w:val="false"/>
                <w:sz w:val="26"/>
              </w:rPr>
              <w:t>Về chính sách cho các hộ dân vùng ngập lũ mua trả chậm nền nhà và nhà ở trong các cụm, tuyến dân cư ở các tỉnh đồng bằng sông Cửu Long</w:t>
            </w:r>
          </w:p>
        </w:tc>
        <w:tc>
          <w:p/>
          <w:p>
            <w:pPr>
              <w:spacing w:after="0" w:before="0" w:lineRule="auto" w:line="276"/>
              <w:jc w:val="left"/>
            </w:pPr>
            <w:r>
              <w:rPr>
                <w:rFonts w:ascii="Times New Roman" w:hAnsi="Times New Roman" w:cs="Times New Roman" w:eastAsia="Times New Roman"/>
                <w:b w:val="false"/>
                <w:sz w:val="26"/>
              </w:rPr>
              <w:t>17-08-2002</w:t>
            </w:r>
          </w:p>
        </w:tc>
        <w:tc>
          <w:p/>
        </w:tc>
      </w:tr>
      <w:tr>
        <w:tc>
          <w:p/>
          <w:p>
            <w:pPr>
              <w:spacing w:after="0" w:before="0" w:lineRule="auto" w:line="276"/>
              <w:jc w:val="left"/>
            </w:pPr>
            <w:r>
              <w:rPr>
                <w:rFonts w:ascii="Times New Roman" w:hAnsi="Times New Roman" w:cs="Times New Roman" w:eastAsia="Times New Roman"/>
                <w:b w:val="false"/>
                <w:sz w:val="26"/>
              </w:rPr>
              <w:t>204/2005/QĐ-TTg</w:t>
            </w:r>
          </w:p>
        </w:tc>
        <w:tc>
          <w:p/>
          <w:p>
            <w:pPr>
              <w:spacing w:after="0" w:before="0" w:lineRule="auto" w:line="276"/>
              <w:jc w:val="left"/>
            </w:pPr>
            <w:r>
              <w:rPr>
                <w:rFonts w:ascii="Times New Roman" w:hAnsi="Times New Roman" w:cs="Times New Roman" w:eastAsia="Times New Roman"/>
                <w:b w:val="false"/>
                <w:sz w:val="26"/>
              </w:rPr>
              <w:t>Về việc điều chỉnh, bổ sung đối tượng và cơ chế vay vốn xây dựng nhà ở thuộc Chương trình xây dựng cụm, tuyến dân cư và nhà ở vùng thường xuyên ngập lũ đồng bằng sông Cửu Long</w:t>
            </w:r>
          </w:p>
        </w:tc>
        <w:tc>
          <w:p/>
          <w:p>
            <w:pPr>
              <w:spacing w:after="0" w:before="0" w:lineRule="auto" w:line="276"/>
              <w:jc w:val="left"/>
            </w:pPr>
            <w:r>
              <w:rPr>
                <w:rFonts w:ascii="Times New Roman" w:hAnsi="Times New Roman" w:cs="Times New Roman" w:eastAsia="Times New Roman"/>
                <w:b w:val="false"/>
                <w:sz w:val="26"/>
              </w:rPr>
              <w:t>10-09-2005</w:t>
            </w:r>
          </w:p>
        </w:tc>
        <w:tc>
          <w:p/>
        </w:tc>
      </w:tr>
      <w:tr>
        <w:tc>
          <w:p/>
          <w:p>
            <w:pPr>
              <w:spacing w:after="0" w:before="0" w:lineRule="auto" w:line="276"/>
              <w:jc w:val="left"/>
            </w:pPr>
            <w:r>
              <w:rPr>
                <w:rFonts w:ascii="Times New Roman" w:hAnsi="Times New Roman" w:cs="Times New Roman" w:eastAsia="Times New Roman"/>
                <w:b w:val="false"/>
                <w:sz w:val="26"/>
              </w:rPr>
              <w:t>3151/NHCS-TD</w:t>
            </w:r>
          </w:p>
        </w:tc>
        <w:tc>
          <w:p/>
          <w:p>
            <w:pPr>
              <w:spacing w:after="0" w:before="0" w:lineRule="auto" w:line="276"/>
              <w:jc w:val="left"/>
            </w:pPr>
            <w:r>
              <w:rPr>
                <w:rFonts w:ascii="Times New Roman" w:hAnsi="Times New Roman" w:cs="Times New Roman" w:eastAsia="Times New Roman"/>
                <w:b w:val="false"/>
                <w:sz w:val="26"/>
              </w:rPr>
              <w:t>V/v hướng dẫn nghiệp vụ cho vay chương trình nhà ở vùng thường xuyên ngập lũ đồng bằng sông Cửu</w:t>
            </w:r>
          </w:p>
        </w:tc>
        <w:tc>
          <w:p/>
          <w:p>
            <w:pPr>
              <w:spacing w:after="0" w:before="0" w:lineRule="auto" w:line="276"/>
              <w:jc w:val="left"/>
            </w:pPr>
            <w:r>
              <w:rPr>
                <w:rFonts w:ascii="Times New Roman" w:hAnsi="Times New Roman" w:cs="Times New Roman" w:eastAsia="Times New Roman"/>
                <w:b w:val="false"/>
                <w:sz w:val="26"/>
              </w:rPr>
              <w:t>07-11-2005</w:t>
            </w:r>
          </w:p>
        </w:tc>
        <w:tc>
          <w:p/>
        </w:tc>
      </w:tr>
      <w:tr>
        <w:tc>
          <w:p/>
          <w:p>
            <w:pPr>
              <w:spacing w:after="0" w:before="0" w:lineRule="auto" w:line="276"/>
              <w:jc w:val="left"/>
            </w:pPr>
            <w:r>
              <w:rPr>
                <w:rFonts w:ascii="Times New Roman" w:hAnsi="Times New Roman" w:cs="Times New Roman" w:eastAsia="Times New Roman"/>
                <w:b w:val="false"/>
                <w:sz w:val="26"/>
              </w:rPr>
              <w:t>78/2004/QĐ-TTg</w:t>
            </w:r>
          </w:p>
        </w:tc>
        <w:tc>
          <w:p/>
          <w:p>
            <w:pPr>
              <w:spacing w:after="0" w:before="0" w:lineRule="auto" w:line="276"/>
              <w:jc w:val="left"/>
            </w:pPr>
            <w:r>
              <w:rPr>
                <w:rFonts w:ascii="Times New Roman" w:hAnsi="Times New Roman" w:cs="Times New Roman" w:eastAsia="Times New Roman"/>
                <w:b w:val="false"/>
                <w:sz w:val="26"/>
              </w:rPr>
              <w:t>Về việc điều chỉnh, bổ sung một số cơ chế chính sách để đẩy nhanh tiến độ xây dựng cụm, tuyến dân cư và nhà ở tại các tỉnh thường xuyên ngập lũ đồng bằng sông Cửu Long</w:t>
            </w:r>
          </w:p>
        </w:tc>
        <w:tc>
          <w:p/>
          <w:p>
            <w:pPr>
              <w:spacing w:after="0" w:before="0" w:lineRule="auto" w:line="276"/>
              <w:jc w:val="left"/>
            </w:pPr>
            <w:r>
              <w:rPr>
                <w:rFonts w:ascii="Times New Roman" w:hAnsi="Times New Roman" w:cs="Times New Roman" w:eastAsia="Times New Roman"/>
                <w:b w:val="false"/>
                <w:sz w:val="26"/>
              </w:rPr>
              <w:t>07-05-2004</w:t>
            </w:r>
          </w:p>
        </w:tc>
        <w:tc>
          <w:p/>
        </w:tc>
      </w:tr>
      <w:tr>
        <w:tc>
          <w:p/>
          <w:p>
            <w:pPr>
              <w:spacing w:after="0" w:before="0" w:lineRule="auto" w:line="276"/>
              <w:jc w:val="left"/>
            </w:pPr>
            <w:r>
              <w:rPr>
                <w:rFonts w:ascii="Times New Roman" w:hAnsi="Times New Roman" w:cs="Times New Roman" w:eastAsia="Times New Roman"/>
                <w:b w:val="false"/>
                <w:sz w:val="26"/>
              </w:rPr>
              <w:t>1727/NHCSXH-TDSV</w:t>
            </w:r>
          </w:p>
        </w:tc>
        <w:tc>
          <w:p/>
          <w:p>
            <w:pPr>
              <w:spacing w:after="0" w:before="0" w:lineRule="auto" w:line="276"/>
              <w:jc w:val="left"/>
            </w:pPr>
            <w:r>
              <w:rPr>
                <w:rFonts w:ascii="Times New Roman" w:hAnsi="Times New Roman" w:cs="Times New Roman" w:eastAsia="Times New Roman"/>
                <w:b w:val="false"/>
                <w:sz w:val="26"/>
              </w:rPr>
              <w:t>Văn bản số 1727/NHCSXH-TDSV</w:t>
            </w:r>
          </w:p>
        </w:tc>
        <w:tc>
          <w:p/>
          <w:p>
            <w:pPr>
              <w:spacing w:after="0" w:before="0" w:lineRule="auto" w:line="276"/>
              <w:jc w:val="left"/>
            </w:pPr>
            <w:r>
              <w:rPr>
                <w:rFonts w:ascii="Times New Roman" w:hAnsi="Times New Roman" w:cs="Times New Roman" w:eastAsia="Times New Roman"/>
                <w:b w:val="false"/>
                <w:sz w:val="26"/>
              </w:rPr>
              <w:t>06-07-2009</w:t>
            </w:r>
          </w:p>
        </w:tc>
        <w:tc>
          <w:p/>
        </w:tc>
      </w:tr>
      <w:tr>
        <w:tc>
          <w:p/>
          <w:p>
            <w:pPr>
              <w:spacing w:after="0" w:before="0" w:lineRule="auto" w:line="276"/>
              <w:jc w:val="left"/>
            </w:pPr>
            <w:r>
              <w:rPr>
                <w:rFonts w:ascii="Times New Roman" w:hAnsi="Times New Roman" w:cs="Times New Roman" w:eastAsia="Times New Roman"/>
                <w:b w:val="false"/>
                <w:sz w:val="26"/>
              </w:rPr>
              <w:t>2833/NHCS-TDSV</w:t>
            </w:r>
          </w:p>
        </w:tc>
        <w:tc>
          <w:p/>
          <w:p>
            <w:pPr>
              <w:spacing w:after="0" w:before="0" w:lineRule="auto" w:line="276"/>
              <w:jc w:val="left"/>
            </w:pPr>
            <w:r>
              <w:rPr>
                <w:rFonts w:ascii="Times New Roman" w:hAnsi="Times New Roman" w:cs="Times New Roman" w:eastAsia="Times New Roman"/>
                <w:b w:val="false"/>
                <w:sz w:val="26"/>
              </w:rPr>
              <w:t>Văn bản số 2833/NHCS-TDSV</w:t>
            </w:r>
          </w:p>
        </w:tc>
        <w:tc>
          <w:p/>
          <w:p>
            <w:pPr>
              <w:spacing w:after="0" w:before="0" w:lineRule="auto" w:line="276"/>
              <w:jc w:val="left"/>
            </w:pPr>
            <w:r>
              <w:rPr>
                <w:rFonts w:ascii="Times New Roman" w:hAnsi="Times New Roman" w:cs="Times New Roman" w:eastAsia="Times New Roman"/>
                <w:b w:val="false"/>
                <w:sz w:val="26"/>
              </w:rPr>
              <w:t>12-11-2010</w:t>
            </w:r>
          </w:p>
        </w:tc>
        <w:tc>
          <w:p/>
        </w:tc>
      </w:tr>
      <w:tr>
        <w:tc>
          <w:p/>
          <w:p>
            <w:pPr>
              <w:spacing w:after="0" w:before="0" w:lineRule="auto" w:line="276"/>
              <w:jc w:val="left"/>
            </w:pPr>
            <w:r>
              <w:rPr>
                <w:rFonts w:ascii="Times New Roman" w:hAnsi="Times New Roman" w:cs="Times New Roman" w:eastAsia="Times New Roman"/>
                <w:b w:val="false"/>
                <w:sz w:val="26"/>
              </w:rPr>
              <w:t>1862/NHCS-TDSV</w:t>
            </w:r>
          </w:p>
        </w:tc>
        <w:tc>
          <w:p/>
          <w:p>
            <w:pPr>
              <w:spacing w:after="0" w:before="0" w:lineRule="auto" w:line="276"/>
              <w:jc w:val="left"/>
            </w:pPr>
            <w:r>
              <w:rPr>
                <w:rFonts w:ascii="Times New Roman" w:hAnsi="Times New Roman" w:cs="Times New Roman" w:eastAsia="Times New Roman"/>
                <w:b w:val="false"/>
                <w:sz w:val="26"/>
              </w:rPr>
              <w:t>Văn bản số 1862/NHCS-TDSV</w:t>
            </w:r>
          </w:p>
        </w:tc>
        <w:tc>
          <w:p/>
          <w:p>
            <w:pPr>
              <w:spacing w:after="0" w:before="0" w:lineRule="auto" w:line="276"/>
              <w:jc w:val="left"/>
            </w:pPr>
            <w:r>
              <w:rPr>
                <w:rFonts w:ascii="Times New Roman" w:hAnsi="Times New Roman" w:cs="Times New Roman" w:eastAsia="Times New Roman"/>
                <w:b w:val="false"/>
                <w:sz w:val="26"/>
              </w:rPr>
              <w:t>23-05-2012</w:t>
            </w:r>
          </w:p>
        </w:tc>
        <w:tc>
          <w:p/>
        </w:tc>
      </w:tr>
      <w:tr>
        <w:tc>
          <w:p/>
          <w:p>
            <w:pPr>
              <w:spacing w:after="0" w:before="0" w:lineRule="auto" w:line="276"/>
              <w:jc w:val="left"/>
            </w:pPr>
            <w:r>
              <w:rPr>
                <w:rFonts w:ascii="Times New Roman" w:hAnsi="Times New Roman" w:cs="Times New Roman" w:eastAsia="Times New Roman"/>
                <w:b w:val="false"/>
                <w:sz w:val="26"/>
              </w:rPr>
              <w:t>104/2022/NĐ-CP</w:t>
            </w:r>
          </w:p>
        </w:tc>
        <w:tc>
          <w:p/>
          <w:p>
            <w:pPr>
              <w:spacing w:after="0" w:before="0" w:lineRule="auto" w:line="276"/>
              <w:jc w:val="left"/>
            </w:pPr>
            <w:r>
              <w:rPr>
                <w:rFonts w:ascii="Times New Roman" w:hAnsi="Times New Roman" w:cs="Times New Roman" w:eastAsia="Times New Roman"/>
                <w:b w:val="false"/>
                <w:sz w:val="26"/>
              </w:rPr>
              <w:t>Nghị định sửa đổi, bổ sung một số điều của các nghị định liên quan đến việc nộp, xuất trình sổ hộ khẩu, sổ tạm trú giấy khi thực hiện thủ tục hành chính, cung cấp dịch vụ công</w:t>
            </w:r>
          </w:p>
        </w:tc>
        <w:tc>
          <w:p/>
          <w:p>
            <w:pPr>
              <w:spacing w:after="0" w:before="0" w:lineRule="auto" w:line="276"/>
              <w:jc w:val="left"/>
            </w:pPr>
            <w:r>
              <w:rPr>
                <w:rFonts w:ascii="Times New Roman" w:hAnsi="Times New Roman" w:cs="Times New Roman" w:eastAsia="Times New Roman"/>
                <w:b w:val="false"/>
                <w:sz w:val="26"/>
              </w:rPr>
              <w:t>21-12-2022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3524/NHCS-TDNN</w:t>
            </w:r>
          </w:p>
        </w:tc>
        <w:tc>
          <w:p/>
          <w:p>
            <w:pPr>
              <w:spacing w:after="0" w:before="0" w:lineRule="auto" w:line="276"/>
              <w:jc w:val="left"/>
            </w:pPr>
            <w:r>
              <w:rPr>
                <w:rFonts w:ascii="Times New Roman" w:hAnsi="Times New Roman" w:cs="Times New Roman" w:eastAsia="Times New Roman"/>
                <w:b w:val="false"/>
                <w:sz w:val="26"/>
              </w:rPr>
              <w:t>V/v sửa đổi một số nội dung nghiệp vụ cho vay đối với hộ nghèo và các đối tượng chính sách khác.</w:t>
            </w:r>
          </w:p>
        </w:tc>
        <w:tc>
          <w:p/>
          <w:p>
            <w:pPr>
              <w:spacing w:after="0" w:before="0" w:lineRule="auto" w:line="276"/>
              <w:jc w:val="left"/>
            </w:pPr>
            <w:r>
              <w:rPr>
                <w:rFonts w:ascii="Times New Roman" w:hAnsi="Times New Roman" w:cs="Times New Roman" w:eastAsia="Times New Roman"/>
                <w:b w:val="false"/>
                <w:sz w:val="26"/>
              </w:rPr>
              <w:t>28-04-2023</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Có Quyết định giao nền nhà của UBND (huyện hoặc xã do UBND tỉnh quy định).
- Có tên trong Danh sách hộ dân mua trả chậm nhà ở do UBND tỉnh hoặc uỷ quyền cho UBND huyện phê duyệt.
- Nhà ở đã được xây dựng hoàn chỉnh theo quy định của UBND cấp tỉnh.
- Có Biên bản bàn giao nhà.
- Là hộ thuộc diện nghèo, quá khó khăn, không có khả năng để lo việc bao che và lát nền nhà;
- Là hộ dân chuyển đến cụm, tuyến dân cư  và bờ bao khu dân cư có sẵn từ ngày 11/9/2005 trở đi;
- Có tên trong danh sách hộ dân được nâng mức vay do UBND cấp tỉnh hoặc ủy quyền cho UBND cấp huyện phê duyệt.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https://thutuc.dichvucong.gov.vn/p/home/dvc-tthc-thu-tuc-hanh-chinh-chi-tiet.html?ma_thu_tuc=2128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2025-11-27T16:38:17Z</dcterms:created>
  <dc:creator>Apache POI</dc:creator>
</cp:coreProperties>
</file>