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mua, nhận chuyển nhượng cổ phần dẫn đến tổ chức, cá nhân trở thành cổ đông lớn của ngân hàng thương mại cổ phần trong trường hợp ngân hàng thương mại cổ phần không tăng mức vốn điều lệ hoặc tăng mức vốn điều lệ mà tổ chức, cá nhân đó không thuộc danh sách cổ đông mua cổ phần của ngân hàng thương mại cổ phần tại điểm d khoản 1 Điều 12 Thông tư 50/2018/TT-NHNN đã được Ngân hàng Nhà nước chấp thuận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lập hồ sơ gửi Ngân hàng Nhà nước Việt Nam.
+ Bước 2: Trường hợp hồ sơ chưa đầy đủ, hợp lệ, trong thời hạn 07 ngày làm việc kể từ ngày nhận được hồ sơ, Ngân hàng Nhà nước có văn bản yêu cầu ngân hàng thương mại bổ sung, hoàn thiện hồ sơ.
+ Bước 3: Trong thời hạn 75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 Văn bản chấp thuận của Ngân hàng Nhà nước có giá trị thực hiện trong thời hạn 03 tháng kể từ ngày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ngân hàng thương mại, trong đó tối thiểu bao gồm các nội dung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Thông tin về số lượng cổ phần, loại cổ phần, tổng mệnh giá cổ phần mua,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Thông tin của bên mua, nhận chuyển nhượng cổ phần gồm: thông tin định danh,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hiện tại và dự kiến sau khi mua,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Tỷ lệ sở hữu cổ phần so với vốn điều lệ của bên mua, nhận chuyển nhượng và người có liên quan dự kiến sau khi mua,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Thời gian giao dịch dự kiến.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Cam kết thông báo cho bên mua, nhận chuyển nhượng về quyền và nghĩa vụ của cổ đông theo quy định của pháp luật, trong đó bao gồm: (i) Chịu trách nhiệm trước pháp luật về tính hợp pháp của nguồn vốn mua; không sử dụng nguồn vốn do tổ chức tín dụng, chi nhánh ngân hàng nước ngoài cấp tín dụng để mua; không được mua dưới tên của cá nhân, pháp nhân khác dưới mọi hình thức, trừ trường hợp ủy thác theo quy định của pháp luật; (ii) Chịu trách nhiệm tuân thủ quy định của Luật các tổ chức tín dụng về giới hạn sở hữu cổ phần của cổ đông, cổ đông và người có liên quan; (iii) Chịu trách nhiệm tuân thủ quy định về cổ đông lớn, cổ đông lớn và người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của ngân hàng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06/2022/TT-NHNN</w:t>
            </w:r>
          </w:p>
        </w:tc>
        <w:tc>
          <w:p/>
          <w:p>
            <w:pPr>
              <w:spacing w:after="0" w:before="0" w:lineRule="auto" w:line="276"/>
              <w:jc w:val="left"/>
            </w:pPr>
            <w:r>
              <w:rPr>
                <w:rFonts w:ascii="Times New Roman" w:hAnsi="Times New Roman" w:cs="Times New Roman" w:eastAsia="Times New Roman"/>
                <w:b w:val="false"/>
                <w:sz w:val="26"/>
              </w:rPr>
              <w:t>Thông tư 06/2022/TT-NHNN</w:t>
            </w:r>
          </w:p>
        </w:tc>
        <w:tc>
          <w:p/>
          <w:p>
            <w:pPr>
              <w:spacing w:after="0" w:before="0" w:lineRule="auto" w:line="276"/>
              <w:jc w:val="left"/>
            </w:pPr>
            <w:r>
              <w:rPr>
                <w:rFonts w:ascii="Times New Roman" w:hAnsi="Times New Roman" w:cs="Times New Roman" w:eastAsia="Times New Roman"/>
                <w:b w:val="false"/>
                <w:sz w:val="26"/>
              </w:rPr>
              <w:t>30-06-2022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 Đối với thành phần hồ sơ là bản sao, ngân hàng thương mại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
+ Văn bản đề nghị chấp thuận của ngân hàng thương mại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2025-11-27T16:39:22Z</dcterms:created>
  <dc:creator>Apache POI</dc:creator>
</cp:coreProperties>
</file>