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161a/QĐ-NHNN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mua bán, chuyển nhượng toàn bộ vốn góp của chủ sở hữu tại ngân hàng thương mại trách nhiệm hữu hạn một thành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lập hồ sơ gửi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Việt Nam (Cục Quản lý, giám sát tổ chức tín dụng) có văn bản yêu cầu ngân hàng thương mại bổ sung, hoàn thiện hồ sơ.</w:t>
      </w:r>
    </w:p>
    <w:p>
      <w:pPr>
        <w:spacing w:after="0" w:before="0" w:lineRule="auto" w:line="276"/>
        <w:jc w:val="both"/>
      </w:pPr>
      <w:r>
        <w:rPr>
          <w:rFonts w:ascii="Times New Roman" w:hAnsi="Times New Roman" w:cs="Times New Roman" w:eastAsia="Times New Roman"/>
          <w:b w:val="false"/>
          <w:sz w:val="26"/>
        </w:rPr>
        <w:t>Bước 3: Trong thời hạn 75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 Văn bản chấp thuận của Ngân hàng Nhà nước có giá trị thực hiện trong  thời hạn 03 tháng kể từ ngày ký</w:t>
      </w:r>
    </w:p>
    <w:p>
      <w:pPr>
        <w:spacing w:after="0" w:before="0" w:lineRule="auto" w:line="276"/>
        <w:jc w:val="both"/>
      </w:pPr>
      <w:r>
        <w:rPr>
          <w:rFonts w:ascii="Times New Roman" w:hAnsi="Times New Roman" w:cs="Times New Roman" w:eastAsia="Times New Roman"/>
          <w:b w:val="false"/>
          <w:sz w:val="26"/>
        </w:rPr>
        <w:t>Bước 4: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của ngân hàng thương mại, trong đó tối thiểu bao gồm các thông tin sau: (i) Tên, địa chỉ trụ sở chính của chủ sở hữu và của bên mua, nhận chuyển nhượng; (ii) Thời điểm dự kiến thực hiện việc mua bán,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thỏa thuận mua bán, chuyển nhượng phần vốn góp giữa chủ sở hữu với bên mua,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Các văn bản, tài liệu chứng minh bên mua, nhận chuyển nhượng đáp ứng đủ các điều kiện đối với chủ sở hữu của ngân hàng thương mại trách nhiệm hữu hạn một thành viên theo quy định của pháp luật quy định tại điểm c (i) khoản 1 Điều 13 Thông tư 50/2018/TT-NHNN.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mua bán, chuyển nhượng toàn bộ vốn góp của chủ sở hữu tại ngân hàng thương mại trách nhiệm hữu hạn một thành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2025-11-27T16:39:35Z</dcterms:created>
  <dc:creator>Apache POI</dc:creator>
</cp:coreProperties>
</file>